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92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 followed by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Ten chapters also have a </w:t>
      </w:r>
      <w:r>
        <w:rPr>
          <w:rFonts w:ascii="Arial" w:cs="Arial" w:eastAsia="Arial" w:hAnsi="Arial"/>
          <w:b/>
          <w:bCs/>
        </w:rPr>
        <w:t xml:space="preserve">Did you know?</w:t>
      </w:r>
      <w:r>
        <w:rPr>
          <w:rFonts w:ascii="Arial" w:cs="Arial" w:eastAsia="Arial" w:hAnsi="Arial"/>
        </w:rPr>
        <w:t xml:space="preserve"> box.</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and a new </w:t>
      </w:r>
      <w:r>
        <w:rPr>
          <w:rFonts w:ascii="Arial" w:cs="Arial" w:eastAsia="Arial" w:hAnsi="Arial"/>
          <w:b/>
          <w:bCs/>
        </w:rPr>
        <w:t xml:space="preserve">Contributors</w:t>
      </w:r>
      <w:r>
        <w:rPr>
          <w:rFonts w:ascii="Arial" w:cs="Arial" w:eastAsia="Arial" w:hAnsi="Arial"/>
        </w:rPr>
        <w:t xml:space="preserve"> list now close the preface.</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The lasting edition</w:t>
      </w:r>
    </w:p>
    <w:p>
      <w:pPr>
        <w:spacing w:after="140" w:line="300"/>
        <w:jc w:val="both"/>
      </w:pPr>
      <w:r>
        <w:rPr>
          <w:rFonts w:ascii="Arial" w:cs="Arial" w:eastAsia="Arial" w:hAnsi="Arial"/>
        </w:rPr>
        <w:t xml:space="preserve">The final rework made the handbook one that can be used and taught every year:</w:t>
      </w:r>
    </w:p>
    <w:p>
      <w:pPr>
        <w:pStyle w:val="ListParagraph"/>
        <w:numPr>
          <w:ilvl w:val="0"/>
          <w:numId w:val="2"/>
        </w:numPr>
        <w:spacing w:after="80" w:line="290"/>
      </w:pPr>
      <w:r>
        <w:rPr>
          <w:rFonts w:ascii="Arial" w:cs="Arial" w:eastAsia="Arial" w:hAnsi="Arial"/>
          <w:b/>
          <w:bCs/>
        </w:rPr>
        <w:t xml:space="preserve">Order</w:t>
      </w:r>
      <w:r>
        <w:rPr>
          <w:rFonts w:ascii="Arial" w:cs="Arial" w:eastAsia="Arial" w:hAnsi="Arial"/>
        </w:rPr>
        <w:t xml:space="preserve">: the dictionaries chapter moved into Part 1 (now Chapter 3), so that students learn to use a dictionary before anything else, as the team’s framework proposed. All chapter numbers and cross-references were updated.</w:t>
      </w:r>
    </w:p>
    <w:p>
      <w:pPr>
        <w:pStyle w:val="ListParagraph"/>
        <w:numPr>
          <w:ilvl w:val="0"/>
          <w:numId w:val="2"/>
        </w:numPr>
        <w:spacing w:after="80" w:line="290"/>
      </w:pPr>
      <w:r>
        <w:rPr>
          <w:rFonts w:ascii="Arial" w:cs="Arial" w:eastAsia="Arial" w:hAnsi="Arial"/>
          <w:b/>
          <w:bCs/>
        </w:rPr>
        <w:t xml:space="preserve">One path</w:t>
      </w:r>
      <w:r>
        <w:rPr>
          <w:rFonts w:ascii="Arial" w:cs="Arial" w:eastAsia="Arial" w:hAnsi="Arial"/>
        </w:rPr>
        <w:t xml:space="preserve">: every chapter’s Remember box now ends with </w:t>
      </w:r>
      <w:r>
        <w:rPr>
          <w:rFonts w:ascii="Arial" w:cs="Arial" w:eastAsia="Arial" w:hAnsi="Arial"/>
          <w:b/>
          <w:bCs/>
        </w:rPr>
        <w:t xml:space="preserve">Next</w:t>
      </w:r>
      <w:r>
        <w:rPr>
          <w:rFonts w:ascii="Arial" w:cs="Arial" w:eastAsia="Arial" w:hAnsi="Arial"/>
        </w:rPr>
        <w:t xml:space="preserve">, naming the chapter that follows, and the book closes with </w:t>
      </w:r>
      <w:r>
        <w:rPr>
          <w:rFonts w:ascii="Arial" w:cs="Arial" w:eastAsia="Arial" w:hAnsi="Arial"/>
          <w:b/>
          <w:bCs/>
        </w:rPr>
        <w:t xml:space="preserve">Your journey continues</w:t>
      </w:r>
      <w:r>
        <w:rPr>
          <w:rFonts w:ascii="Arial" w:cs="Arial" w:eastAsia="Arial" w:hAnsi="Arial"/>
        </w:rPr>
        <w:t xml:space="preserve">: daily habits, learning from published translations, the fields a translator can move into, and the invitation to join the team.</w:t>
      </w:r>
    </w:p>
    <w:p>
      <w:pPr>
        <w:pStyle w:val="ListParagraph"/>
        <w:numPr>
          <w:ilvl w:val="0"/>
          <w:numId w:val="2"/>
        </w:numPr>
        <w:spacing w:after="80" w:line="290"/>
      </w:pPr>
      <w:r>
        <w:rPr>
          <w:rFonts w:ascii="Arial" w:cs="Arial" w:eastAsia="Arial" w:hAnsi="Arial"/>
          <w:b/>
          <w:bCs/>
        </w:rPr>
        <w:t xml:space="preserve">A stronger opening</w:t>
      </w:r>
      <w:r>
        <w:rPr>
          <w:rFonts w:ascii="Arial" w:cs="Arial" w:eastAsia="Arial" w:hAnsi="Arial"/>
        </w:rPr>
        <w:t xml:space="preserve">: </w:t>
      </w:r>
      <w:r>
        <w:rPr>
          <w:rFonts w:ascii="Arial" w:cs="Arial" w:eastAsia="Arial" w:hAnsi="Arial"/>
          <w:b/>
          <w:bCs/>
        </w:rPr>
        <w:t xml:space="preserve">Start here</w:t>
      </w:r>
      <w:r>
        <w:rPr>
          <w:rFonts w:ascii="Arial" w:cs="Arial" w:eastAsia="Arial" w:hAnsi="Arial"/>
        </w:rPr>
        <w:t xml:space="preserve"> now opens with where translation is found in daily life and with the House of Wisdom in Baghdad, before the four steps of every translation.</w:t>
      </w:r>
    </w:p>
    <w:p>
      <w:pPr>
        <w:pStyle w:val="ListParagraph"/>
        <w:numPr>
          <w:ilvl w:val="0"/>
          <w:numId w:val="2"/>
        </w:numPr>
        <w:spacing w:after="80" w:line="290"/>
      </w:pPr>
      <w:r>
        <w:rPr>
          <w:rFonts w:ascii="Arial" w:cs="Arial" w:eastAsia="Arial" w:hAnsi="Arial"/>
          <w:b/>
          <w:bCs/>
        </w:rPr>
        <w:t xml:space="preserve">Did you know?</w:t>
      </w:r>
      <w:r>
        <w:rPr>
          <w:rFonts w:ascii="Arial" w:cs="Arial" w:eastAsia="Arial" w:hAnsi="Arial"/>
        </w:rPr>
        <w:t xml:space="preserve">: ten short, well-documented facts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w:t>
      </w:r>
    </w:p>
    <w:p>
      <w:pPr>
        <w:pStyle w:val="ListParagraph"/>
        <w:numPr>
          <w:ilvl w:val="0"/>
          <w:numId w:val="2"/>
        </w:numPr>
        <w:spacing w:after="80" w:line="290"/>
      </w:pPr>
      <w:r>
        <w:rPr>
          <w:rFonts w:ascii="Arial" w:cs="Arial" w:eastAsia="Arial" w:hAnsi="Arial"/>
          <w:b/>
          <w:bCs/>
        </w:rPr>
        <w:t xml:space="preserve">Nothing that dates</w:t>
      </w:r>
      <w:r>
        <w:rPr>
          <w:rFonts w:ascii="Arial" w:cs="Arial" w:eastAsia="Arial" w:hAnsi="Arial"/>
        </w:rPr>
        <w:t xml:space="preserve">: the one example tied to a recent event was replaced with a general one.</w:t>
      </w:r>
    </w:p>
    <w:p>
      <w:pPr>
        <w:pStyle w:val="ListParagraph"/>
        <w:numPr>
          <w:ilvl w:val="0"/>
          <w:numId w:val="2"/>
        </w:numPr>
        <w:spacing w:after="80" w:line="290"/>
      </w:pPr>
      <w:r>
        <w:rPr>
          <w:rFonts w:ascii="Arial" w:cs="Arial" w:eastAsia="Arial" w:hAnsi="Arial"/>
          <w:b/>
          <w:bCs/>
        </w:rPr>
        <w:t xml:space="preserve">A shorter book without cutting content</w:t>
      </w:r>
      <w:r>
        <w:rPr>
          <w:rFonts w:ascii="Arial" w:cs="Arial" w:eastAsia="Arial" w:hAnsi="Arial"/>
        </w:rPr>
        <w:t xml:space="preserve">: chapters now follow on from each other, while each part still starts on a new page; the glossary is set in two columns; the margins and the space between paragraphs were reduced slightly. The book went from 102 to 92 pages with the same content.</w:t>
      </w:r>
    </w:p>
    <w:p>
      <w:pPr>
        <w:spacing w:after="60"/>
      </w:pPr>
    </w:p>
    <w:p>
      <w:pPr>
        <w:pStyle w:val="Heading2"/>
      </w:pPr>
      <w:r>
        <w:t xml:space="preserve">3.5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9:</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17:</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11:</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4).</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10); form and meaning (Chapter 5); types of meaning (Chapter 6); context, homonymy and polysemy (Chapter 7).</w:t>
      </w:r>
    </w:p>
    <w:p>
      <w:pPr>
        <w:pStyle w:val="ListParagraph"/>
        <w:numPr>
          <w:ilvl w:val="0"/>
          <w:numId w:val="2"/>
        </w:numPr>
        <w:spacing w:after="80" w:line="290"/>
      </w:pPr>
      <w:r>
        <w:rPr>
          <w:rFonts w:ascii="Arial" w:cs="Arial" w:eastAsia="Arial" w:hAnsi="Arial"/>
        </w:rPr>
        <w:t xml:space="preserve">Collocation (Chapter 8); idioms and proverbs (Chapter 9); literal and free translation (Chapter 11); metaphoric translation (Chapter 12).</w:t>
      </w:r>
    </w:p>
    <w:p>
      <w:pPr>
        <w:pStyle w:val="ListParagraph"/>
        <w:numPr>
          <w:ilvl w:val="0"/>
          <w:numId w:val="2"/>
        </w:numPr>
        <w:spacing w:after="80" w:line="290"/>
      </w:pPr>
      <w:r>
        <w:rPr>
          <w:rFonts w:ascii="Arial" w:cs="Arial" w:eastAsia="Arial" w:hAnsi="Arial"/>
        </w:rPr>
        <w:t xml:space="preserve">Translation strategies (Chapter 14); cultural approximation (Chapter 15); descriptive translation (Chapter 16); lexical creation (Chapter 17).</w:t>
      </w:r>
    </w:p>
    <w:p>
      <w:pPr>
        <w:pStyle w:val="ListParagraph"/>
        <w:numPr>
          <w:ilvl w:val="0"/>
          <w:numId w:val="2"/>
        </w:numPr>
        <w:spacing w:after="80" w:line="290"/>
      </w:pPr>
      <w:r>
        <w:rPr>
          <w:rFonts w:ascii="Arial" w:cs="Arial" w:eastAsia="Arial" w:hAnsi="Arial"/>
        </w:rPr>
        <w:t xml:space="preserve">Text analysis, including the KUNA example (Chapter 18);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8, 9 and 15).</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18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19 and 20);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18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12, 17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10, 12, 15, 16 and 17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11, 14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4, 6, 19,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14, and the examples in Chapters 11 and 14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18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11, 14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Check the ten “Did you know?” facts against a reference work (dates, numbers and names) before printing.</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20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2026-09-25T21:39:52.550Z</dcterms:created>
  <dcterms:modified xsi:type="dcterms:W3CDTF">2026-09-25T21:39:52.550Z</dcterms:modified>
</cp:coreProperties>
</file>

<file path=docProps/custom.xml><?xml version="1.0" encoding="utf-8"?>
<Properties xmlns="http://schemas.openxmlformats.org/officeDocument/2006/custom-properties" xmlns:vt="http://schemas.openxmlformats.org/officeDocument/2006/docPropsVTypes"/>
</file>