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7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17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170" w:line="330"/>
      </w:pPr>
      <w:r>
        <w:rPr>
          <w:rFonts w:ascii="Calibri" w:cs="Calibri" w:eastAsia="Calibri" w:hAnsi="Calibri"/>
          <w:i/>
          <w:iCs/>
        </w:rPr>
        <w:t xml:space="preserve">The Translation Team</w:t>
      </w:r>
    </w:p>
    <w:p>
      <w:pPr>
        <w:pStyle w:val="Heading3"/>
      </w:pPr>
      <w:r>
        <w:t xml:space="preserve">Acknowledgements</w:t>
      </w:r>
    </w:p>
    <w:p>
      <w:pPr>
        <w:spacing w:after="170" w:line="330"/>
      </w:pPr>
      <w:r>
        <w:rPr>
          <w:rFonts w:ascii="Calibri" w:cs="Calibri" w:eastAsia="Calibri" w:hAnsi="Calibri"/>
        </w:rPr>
        <w:t xml:space="preserve">The Translation Team thanks every team member who collected material and examples for this handbook.</w:t>
      </w:r>
    </w:p>
    <w:p>
      <w:pPr>
        <w:pStyle w:val="Heading3"/>
      </w:pPr>
      <w:r>
        <w:t xml:space="preserve">Contributors</w:t>
      </w:r>
    </w:p>
    <w:p>
      <w:pPr>
        <w:spacing w:after="17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170" w:line="330"/>
      </w:pPr>
      <w:r>
        <w:rPr>
          <w:rFonts w:ascii="Calibri" w:cs="Calibri" w:eastAsia="Calibri" w:hAnsi="Calibri"/>
          <w:b/>
          <w:bCs/>
        </w:rPr>
        <w:t xml:space="preserve">Loulwah Bin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17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17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18).</w:t>
      </w:r>
    </w:p>
    <w:p>
      <w:pPr>
        <w:pStyle w:val="Heading1"/>
        <w:pageBreakBefore/>
      </w:pPr>
      <w:r>
        <w:t xml:space="preserve">Start here</w:t>
      </w:r>
    </w:p>
    <w:p>
      <w:pPr>
        <w:spacing w:after="17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17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17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17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17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17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17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pStyle w:val="ListParagraph"/>
        <w:numPr>
          <w:ilvl w:val="0"/>
          <w:numId w:val="2"/>
        </w:numPr>
        <w:spacing w:after="110" w:line="320"/>
      </w:pPr>
      <w:r>
        <w:rPr>
          <w:rFonts w:ascii="Calibri" w:cs="Calibri" w:eastAsia="Calibri" w:hAnsi="Calibri"/>
          <w:b/>
          <w:bCs/>
        </w:rPr>
        <w:t xml:space="preserve">Next</w:t>
      </w:r>
      <w:r>
        <w:rPr>
          <w:rFonts w:ascii="Calibri" w:cs="Calibri" w:eastAsia="Calibri" w:hAnsi="Calibri"/>
        </w:rPr>
        <w:t xml:space="preserve"> tells you where the path goes, and </w:t>
      </w:r>
      <w:r>
        <w:rPr>
          <w:rFonts w:ascii="Calibri" w:cs="Calibri" w:eastAsia="Calibri" w:hAnsi="Calibri"/>
          <w:b/>
          <w:bCs/>
        </w:rPr>
        <w:t xml:space="preserve">Did you know?</w:t>
      </w:r>
      <w:r>
        <w:rPr>
          <w:rFonts w:ascii="Calibri" w:cs="Calibri" w:eastAsia="Calibri" w:hAnsi="Calibri"/>
        </w:rPr>
        <w:t xml:space="preserve"> shares a true story about translation.</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means from English into Arabic, and </w:t>
      </w:r>
      <w:r>
        <w:rPr>
          <w:rFonts w:ascii="Calibri" w:cs="Calibri" w:eastAsia="Calibri" w:hAnsi="Calibri"/>
          <w:b/>
          <w:bCs/>
        </w:rPr>
        <w:t xml:space="preserve">AR → EN</w:t>
      </w:r>
      <w:r>
        <w:rPr>
          <w:rFonts w:ascii="Calibri" w:cs="Calibri" w:eastAsia="Calibri" w:hAnsi="Calibri"/>
        </w:rPr>
        <w:t xml:space="preserve"> the reverse;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 note in brackets, such as (Newmark, 1988), shows the source of an idea, listed in full in the References.</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pStyle w:val="Heading2"/>
        <w:spacing w:before="0"/>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17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7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17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17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17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17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17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17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17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17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17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17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17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17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spacing w:before="600"/>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17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7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17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17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17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17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170" w:line="330"/>
      </w:pPr>
      <w:r>
        <w:rPr>
          <w:rFonts w:ascii="Calibri" w:cs="Calibri" w:eastAsia="Calibri" w:hAnsi="Calibri"/>
        </w:rPr>
        <w:t xml:space="preserve">Now let us put it all together on one short sentence:</w:t>
      </w:r>
    </w:p>
    <w:p>
      <w:pPr>
        <w:spacing w:after="17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17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spacing w:before="600"/>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17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17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spacing w:before="600"/>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17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17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17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17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17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17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17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17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17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17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17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17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17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17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 is in the library.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5: Form and meaning</w:t>
      </w:r>
    </w:p>
    <w:p>
      <w:pPr>
        <w:shd w:fill="ECE9F7" w:color="auto" w:val="clear"/>
        <w:spacing w:after="160" w:line="120"/>
      </w:pPr>
    </w:p>
    <w:p>
      <w:pPr>
        <w:pStyle w:val="Heading1"/>
        <w:pageBreakBefore/>
      </w:pPr>
      <w:r>
        <w:t xml:space="preserve">Part 2: Understanding meaning</w:t>
      </w:r>
    </w:p>
    <w:p>
      <w:pPr>
        <w:pStyle w:val="Heading2"/>
        <w:spacing w:before="0"/>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17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17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17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17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7"/>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7"/>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8"/>
        </w:numPr>
        <w:spacing w:after="110" w:line="320"/>
      </w:pPr>
      <w:r>
        <w:rPr>
          <w:rFonts w:ascii="Arial" w:cs="Arial" w:hAnsi="Arial"/>
          <w:color w:val="6B6680"/>
          <w:sz w:val="23"/>
          <w:szCs w:val="24"/>
          <w:rtl/>
        </w:rPr>
        <w:t xml:space="preserve">يركض بسرعة.</w:t>
      </w:r>
    </w:p>
    <w:p>
      <w:pPr>
        <w:pStyle w:val="ListParagraph"/>
        <w:numPr>
          <w:ilvl w:val="0"/>
          <w:numId w:val="18"/>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spacing w:before="600"/>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17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17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17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17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9"/>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9"/>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0"/>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0"/>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spacing w:before="600"/>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17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17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pStyle w:val="ListParagraph"/>
        <w:numPr>
          <w:ilvl w:val="0"/>
          <w:numId w:val="21"/>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21"/>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2"/>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22"/>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spacing w:before="0"/>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17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17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17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17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7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4"/>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4"/>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spacing w:before="600"/>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17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17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17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17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17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5"/>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5"/>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5"/>
        </w:numPr>
        <w:spacing w:after="110" w:line="320"/>
      </w:pPr>
      <w:r>
        <w:rPr>
          <w:rFonts w:ascii="Calibri" w:cs="Calibri" w:eastAsia="Calibri" w:hAnsi="Calibri"/>
        </w:rPr>
        <w:t xml:space="preserve">Borrowing the idiom, when readers will understand it.</w:t>
      </w:r>
    </w:p>
    <w:p>
      <w:pPr>
        <w:pStyle w:val="ListParagraph"/>
        <w:numPr>
          <w:ilvl w:val="0"/>
          <w:numId w:val="25"/>
        </w:numPr>
        <w:spacing w:after="110" w:line="320"/>
      </w:pPr>
      <w:r>
        <w:rPr>
          <w:rFonts w:ascii="Calibri" w:cs="Calibri" w:eastAsia="Calibri" w:hAnsi="Calibri"/>
        </w:rPr>
        <w:t xml:space="preserve">A paraphrase: the meaning in plain words.</w:t>
      </w:r>
    </w:p>
    <w:p>
      <w:pPr>
        <w:pStyle w:val="ListParagraph"/>
        <w:numPr>
          <w:ilvl w:val="0"/>
          <w:numId w:val="25"/>
        </w:numPr>
        <w:spacing w:after="110" w:line="320"/>
      </w:pPr>
      <w:r>
        <w:rPr>
          <w:rFonts w:ascii="Calibri" w:cs="Calibri" w:eastAsia="Calibri" w:hAnsi="Calibri"/>
        </w:rPr>
        <w:t xml:space="preserve">Omission, only when the idiom adds nothing and cannot be translated.</w:t>
      </w:r>
    </w:p>
    <w:p>
      <w:pPr>
        <w:spacing w:after="40"/>
      </w:pPr>
    </w:p>
    <w:p>
      <w:pPr>
        <w:spacing w:after="17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17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6"/>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6"/>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6"/>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110" w:line="320"/>
      </w:pPr>
      <w:r>
        <w:rPr>
          <w:rFonts w:ascii="Arial" w:cs="Arial" w:hAnsi="Arial"/>
          <w:color w:val="6B6680"/>
          <w:sz w:val="23"/>
          <w:szCs w:val="24"/>
          <w:rtl/>
        </w:rPr>
        <w:t xml:space="preserve">الامتحان سهل جداً.</w:t>
      </w:r>
    </w:p>
    <w:p>
      <w:pPr>
        <w:pStyle w:val="ListParagraph"/>
        <w:numPr>
          <w:ilvl w:val="0"/>
          <w:numId w:val="27"/>
        </w:numPr>
        <w:spacing w:after="110" w:line="320"/>
      </w:pPr>
      <w:r>
        <w:rPr>
          <w:rFonts w:ascii="Arial" w:cs="Arial" w:hAnsi="Arial"/>
          <w:color w:val="6B6680"/>
          <w:sz w:val="23"/>
          <w:szCs w:val="24"/>
          <w:rtl/>
        </w:rPr>
        <w:t xml:space="preserve">أفشى السرّ.</w:t>
      </w:r>
    </w:p>
    <w:p>
      <w:pPr>
        <w:pStyle w:val="ListParagraph"/>
        <w:numPr>
          <w:ilvl w:val="0"/>
          <w:numId w:val="27"/>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spacing w:before="0"/>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17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7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170" w:line="330"/>
      </w:pPr>
      <w:r>
        <w:rPr>
          <w:rFonts w:ascii="Calibri" w:cs="Calibri" w:eastAsia="Calibri" w:hAnsi="Calibri"/>
        </w:rPr>
        <w:t xml:space="preserve">Try formal equivalence first. If it does not work, look for a functional equivalent. If there is none, give the idea.</w:t>
      </w:r>
    </w:p>
    <w:p>
      <w:pPr>
        <w:spacing w:after="17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8"/>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8"/>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9"/>
        </w:numPr>
        <w:spacing w:after="110" w:line="320"/>
      </w:pPr>
      <w:r>
        <w:rPr>
          <w:rFonts w:ascii="Calibri" w:cs="Calibri" w:eastAsia="Calibri" w:hAnsi="Calibri"/>
          <w:color w:val="6B6680"/>
        </w:rPr>
        <w:t xml:space="preserve">Ideational: only the basic idea is kept.</w:t>
      </w:r>
    </w:p>
    <w:p>
      <w:pPr>
        <w:pStyle w:val="ListParagraph"/>
        <w:numPr>
          <w:ilvl w:val="0"/>
          <w:numId w:val="29"/>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spacing w:before="600"/>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17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17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17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17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17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0"/>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Calibri" w:cs="Calibri" w:eastAsia="Calibri" w:hAnsi="Calibri"/>
          <w:color w:val="6B6680"/>
        </w:rPr>
        <w:t xml:space="preserve">Yes: Arabic uses the same expression.</w:t>
      </w:r>
    </w:p>
    <w:p>
      <w:pPr>
        <w:pStyle w:val="ListParagraph"/>
        <w:numPr>
          <w:ilvl w:val="0"/>
          <w:numId w:val="31"/>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spacing w:before="600"/>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17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17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17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2"/>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3"/>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Arial" w:cs="Arial" w:hAnsi="Arial"/>
          <w:color w:val="6B6680"/>
          <w:sz w:val="23"/>
          <w:szCs w:val="24"/>
          <w:rtl/>
        </w:rPr>
        <w:t xml:space="preserve">تبخّرت آمالي.</w:t>
      </w:r>
    </w:p>
    <w:p>
      <w:pPr>
        <w:pStyle w:val="ListParagraph"/>
        <w:numPr>
          <w:ilvl w:val="0"/>
          <w:numId w:val="34"/>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spacing w:before="600"/>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17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170" w:line="330"/>
      </w:pPr>
      <w:r>
        <w:rPr>
          <w:rFonts w:ascii="Calibri" w:cs="Calibri" w:eastAsia="Calibri" w:hAnsi="Calibri"/>
        </w:rPr>
        <w:t xml:space="preserve">There are seven (Vinay &amp; Darbelnet, 1958/1995), each further from the original:</w:t>
      </w:r>
    </w:p>
    <w:p>
      <w:pPr>
        <w:pStyle w:val="ListParagraph"/>
        <w:numPr>
          <w:ilvl w:val="0"/>
          <w:numId w:val="35"/>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5"/>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5"/>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5"/>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5"/>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5"/>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5"/>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17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17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110" w:line="320"/>
      </w:pPr>
      <w:r>
        <w:rPr>
          <w:rFonts w:ascii="Calibri" w:cs="Calibri" w:eastAsia="Calibri" w:hAnsi="Calibri"/>
          <w:color w:val="6B6680"/>
        </w:rPr>
        <w:t xml:space="preserve">Borrowing.</w:t>
      </w:r>
    </w:p>
    <w:p>
      <w:pPr>
        <w:pStyle w:val="ListParagraph"/>
        <w:numPr>
          <w:ilvl w:val="0"/>
          <w:numId w:val="37"/>
        </w:numPr>
        <w:spacing w:after="110" w:line="320"/>
      </w:pPr>
      <w:r>
        <w:rPr>
          <w:rFonts w:ascii="Calibri" w:cs="Calibri" w:eastAsia="Calibri" w:hAnsi="Calibri"/>
          <w:color w:val="6B6680"/>
        </w:rPr>
        <w:t xml:space="preserve">Calque.</w:t>
      </w:r>
    </w:p>
    <w:p>
      <w:pPr>
        <w:pStyle w:val="ListParagraph"/>
        <w:numPr>
          <w:ilvl w:val="0"/>
          <w:numId w:val="37"/>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spacing w:before="600"/>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17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8"/>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8"/>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8"/>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9"/>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9"/>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17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17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170" w:line="330"/>
      </w:pPr>
      <w:r>
        <w:rPr>
          <w:rFonts w:ascii="Calibri" w:cs="Calibri" w:eastAsia="Calibri" w:hAnsi="Calibri"/>
        </w:rPr>
        <w:t xml:space="preserve">Translators also use these strategies; the first four come from Baker (2018):</w:t>
      </w:r>
    </w:p>
    <w:p>
      <w:pPr>
        <w:pStyle w:val="ListParagraph"/>
        <w:numPr>
          <w:ilvl w:val="0"/>
          <w:numId w:val="40"/>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0"/>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17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41"/>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1"/>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1"/>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110" w:line="320"/>
      </w:pPr>
      <w:r>
        <w:rPr>
          <w:rFonts w:ascii="Calibri" w:cs="Calibri" w:eastAsia="Calibri" w:hAnsi="Calibri"/>
          <w:color w:val="6B6680"/>
        </w:rPr>
        <w:t xml:space="preserve">Omission.</w:t>
      </w:r>
    </w:p>
    <w:p>
      <w:pPr>
        <w:pStyle w:val="ListParagraph"/>
        <w:numPr>
          <w:ilvl w:val="0"/>
          <w:numId w:val="42"/>
        </w:numPr>
        <w:spacing w:after="110" w:line="320"/>
      </w:pPr>
      <w:r>
        <w:rPr>
          <w:rFonts w:ascii="Calibri" w:cs="Calibri" w:eastAsia="Calibri" w:hAnsi="Calibri"/>
          <w:color w:val="6B6680"/>
        </w:rPr>
        <w:t xml:space="preserve">Cultural substitution.</w:t>
      </w:r>
    </w:p>
    <w:p>
      <w:pPr>
        <w:pStyle w:val="ListParagraph"/>
        <w:numPr>
          <w:ilvl w:val="0"/>
          <w:numId w:val="42"/>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spacing w:before="0"/>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17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17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17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17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17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17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3"/>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3"/>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4"/>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4"/>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spacing w:before="600"/>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17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5"/>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5"/>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5"/>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17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6"/>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7"/>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spacing w:before="600"/>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17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8"/>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8"/>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8"/>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8"/>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8"/>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17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17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17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17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9"/>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Loan translation (calque).</w:t>
      </w:r>
    </w:p>
    <w:p>
      <w:pPr>
        <w:pStyle w:val="ListParagraph"/>
        <w:numPr>
          <w:ilvl w:val="0"/>
          <w:numId w:val="50"/>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spacing w:before="0"/>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17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17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17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17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17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17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17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170" w:line="330"/>
      </w:pPr>
      <w:r>
        <w:rPr>
          <w:rFonts w:ascii="Calibri" w:cs="Calibri" w:eastAsia="Calibri" w:hAnsi="Calibri"/>
        </w:rPr>
        <w:t xml:space="preserve">Answer these questions for every text:</w:t>
      </w:r>
    </w:p>
    <w:p>
      <w:pPr>
        <w:pStyle w:val="ListParagraph"/>
        <w:numPr>
          <w:ilvl w:val="0"/>
          <w:numId w:val="51"/>
        </w:numPr>
        <w:spacing w:after="110" w:line="320"/>
      </w:pPr>
      <w:r>
        <w:rPr>
          <w:rFonts w:ascii="Calibri" w:cs="Calibri" w:eastAsia="Calibri" w:hAnsi="Calibri"/>
        </w:rPr>
        <w:t xml:space="preserve">Who is the author or speaker?</w:t>
      </w:r>
    </w:p>
    <w:p>
      <w:pPr>
        <w:pStyle w:val="ListParagraph"/>
        <w:numPr>
          <w:ilvl w:val="0"/>
          <w:numId w:val="51"/>
        </w:numPr>
        <w:spacing w:after="110" w:line="320"/>
      </w:pPr>
      <w:r>
        <w:rPr>
          <w:rFonts w:ascii="Calibri" w:cs="Calibri" w:eastAsia="Calibri" w:hAnsi="Calibri"/>
        </w:rPr>
        <w:t xml:space="preserve">Who published it?</w:t>
      </w:r>
    </w:p>
    <w:p>
      <w:pPr>
        <w:pStyle w:val="ListParagraph"/>
        <w:numPr>
          <w:ilvl w:val="0"/>
          <w:numId w:val="51"/>
        </w:numPr>
        <w:spacing w:after="110" w:line="320"/>
      </w:pPr>
      <w:r>
        <w:rPr>
          <w:rFonts w:ascii="Calibri" w:cs="Calibri" w:eastAsia="Calibri" w:hAnsi="Calibri"/>
        </w:rPr>
        <w:t xml:space="preserve">What is the field?</w:t>
      </w:r>
    </w:p>
    <w:p>
      <w:pPr>
        <w:pStyle w:val="ListParagraph"/>
        <w:numPr>
          <w:ilvl w:val="0"/>
          <w:numId w:val="51"/>
        </w:numPr>
        <w:spacing w:after="110" w:line="320"/>
      </w:pPr>
      <w:r>
        <w:rPr>
          <w:rFonts w:ascii="Calibri" w:cs="Calibri" w:eastAsia="Calibri" w:hAnsi="Calibri"/>
        </w:rPr>
        <w:t xml:space="preserve">What is the genre and the purpose?</w:t>
      </w:r>
    </w:p>
    <w:p>
      <w:pPr>
        <w:pStyle w:val="ListParagraph"/>
        <w:numPr>
          <w:ilvl w:val="0"/>
          <w:numId w:val="51"/>
        </w:numPr>
        <w:spacing w:after="110" w:line="320"/>
      </w:pPr>
      <w:r>
        <w:rPr>
          <w:rFonts w:ascii="Calibri" w:cs="Calibri" w:eastAsia="Calibri" w:hAnsi="Calibri"/>
        </w:rPr>
        <w:t xml:space="preserve">What is the tone, and what is the style of writing?</w:t>
      </w:r>
    </w:p>
    <w:p>
      <w:pPr>
        <w:pStyle w:val="ListParagraph"/>
        <w:numPr>
          <w:ilvl w:val="0"/>
          <w:numId w:val="51"/>
        </w:numPr>
        <w:spacing w:after="110" w:line="320"/>
      </w:pPr>
      <w:r>
        <w:rPr>
          <w:rFonts w:ascii="Calibri" w:cs="Calibri" w:eastAsia="Calibri" w:hAnsi="Calibri"/>
        </w:rPr>
        <w:t xml:space="preserve">Who is the target audience?</w:t>
      </w:r>
    </w:p>
    <w:p>
      <w:pPr>
        <w:pStyle w:val="ListParagraph"/>
        <w:numPr>
          <w:ilvl w:val="0"/>
          <w:numId w:val="51"/>
        </w:numPr>
        <w:spacing w:after="110" w:line="320"/>
      </w:pPr>
      <w:r>
        <w:rPr>
          <w:rFonts w:ascii="Calibri" w:cs="Calibri" w:eastAsia="Calibri" w:hAnsi="Calibri"/>
        </w:rPr>
        <w:t xml:space="preserve">Which terms and words need checking?</w:t>
      </w:r>
    </w:p>
    <w:p>
      <w:pPr>
        <w:pStyle w:val="ListParagraph"/>
        <w:numPr>
          <w:ilvl w:val="0"/>
          <w:numId w:val="51"/>
        </w:numPr>
        <w:spacing w:after="110" w:line="320"/>
      </w:pPr>
      <w:r>
        <w:rPr>
          <w:rFonts w:ascii="Calibri" w:cs="Calibri" w:eastAsia="Calibri" w:hAnsi="Calibri"/>
        </w:rPr>
        <w:t xml:space="preserve">Which strategies will you use?</w:t>
      </w:r>
    </w:p>
    <w:p>
      <w:pPr>
        <w:spacing w:after="40"/>
      </w:pPr>
    </w:p>
    <w:p>
      <w:pPr>
        <w:spacing w:after="17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17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17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52"/>
        </w:numPr>
        <w:spacing w:after="110" w:line="320"/>
      </w:pPr>
      <w:r>
        <w:rPr>
          <w:rFonts w:ascii="Calibri" w:cs="Calibri" w:eastAsia="Calibri" w:hAnsi="Calibri"/>
        </w:rPr>
        <w:t xml:space="preserve">What is the difference between an analysis and a summary?</w:t>
      </w:r>
    </w:p>
    <w:p>
      <w:pPr>
        <w:pStyle w:val="ListParagraph"/>
        <w:numPr>
          <w:ilvl w:val="0"/>
          <w:numId w:val="52"/>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3"/>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spacing w:before="600"/>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an example of each main genre.</w:t>
      </w:r>
    </w:p>
    <w:p>
      <w:pPr>
        <w:pStyle w:val="Heading3"/>
      </w:pPr>
      <w:r>
        <w:t xml:space="preserve">Step 1: what is the text for?</w:t>
      </w:r>
    </w:p>
    <w:p>
      <w:pPr>
        <w:spacing w:after="17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17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17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17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17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Which text type is an advert: informative, expressive or operative?</w:t>
      </w:r>
    </w:p>
    <w:p>
      <w:pPr>
        <w:pStyle w:val="ListParagraph"/>
        <w:numPr>
          <w:ilvl w:val="0"/>
          <w:numId w:val="54"/>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Operative: it tries to persuade.</w:t>
      </w:r>
    </w:p>
    <w:p>
      <w:pPr>
        <w:pStyle w:val="ListParagraph"/>
        <w:numPr>
          <w:ilvl w:val="0"/>
          <w:numId w:val="55"/>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spacing w:before="600"/>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17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170" w:line="330"/>
      </w:pPr>
      <w:r>
        <w:rPr>
          <w:rFonts w:ascii="Calibri" w:cs="Calibri" w:eastAsia="Calibri" w:hAnsi="Calibri"/>
        </w:rPr>
        <w:t xml:space="preserve">Language is connected to power and society (Fairclough, 1992). This gives you three questions:</w:t>
      </w:r>
    </w:p>
    <w:p>
      <w:pPr>
        <w:pStyle w:val="ListParagraph"/>
        <w:numPr>
          <w:ilvl w:val="0"/>
          <w:numId w:val="56"/>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6"/>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6"/>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7"/>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It suggests a harsh or illegitimate government.</w:t>
      </w:r>
    </w:p>
    <w:p>
      <w:pPr>
        <w:pStyle w:val="ListParagraph"/>
        <w:numPr>
          <w:ilvl w:val="0"/>
          <w:numId w:val="58"/>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spacing w:before="0"/>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17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17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17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17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17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170" w:line="330"/>
      </w:pPr>
      <w:r>
        <w:rPr>
          <w:rFonts w:ascii="Calibri" w:cs="Calibri" w:eastAsia="Calibri" w:hAnsi="Calibri"/>
        </w:rPr>
        <w:t xml:space="preserve">Here is part of 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17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17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17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17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17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spacing w:before="600"/>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17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17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17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17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17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17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spacing w:before="0"/>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17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17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spacing w:before="600"/>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17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17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17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spacing w:before="600"/>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17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17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170" w:line="330"/>
      </w:pPr>
      <w:r>
        <w:rPr>
          <w:rFonts w:ascii="Calibri" w:cs="Calibri" w:eastAsia="Calibri" w:hAnsi="Calibri"/>
        </w:rPr>
        <w:t xml:space="preserve">An example:</w:t>
      </w:r>
    </w:p>
    <w:p>
      <w:pPr>
        <w:spacing w:after="17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26: Introduction to audiovisual translation</w:t>
      </w:r>
    </w:p>
    <w:p>
      <w:pPr>
        <w:shd w:fill="ECE9F7" w:color="auto" w:val="clear"/>
        <w:spacing w:after="160" w:line="120"/>
      </w:pPr>
    </w:p>
    <w:p>
      <w:pPr>
        <w:pStyle w:val="Heading1"/>
        <w:pageBreakBefore/>
      </w:pPr>
      <w:r>
        <w:t xml:space="preserve">Part 9: Audiovisual translation</w:t>
      </w:r>
    </w:p>
    <w:p>
      <w:pPr>
        <w:pStyle w:val="Heading2"/>
        <w:spacing w:before="0"/>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17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17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17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spacing w:before="600"/>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17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17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170" w:line="330"/>
      </w:pPr>
      <w:r>
        <w:rPr>
          <w:rFonts w:ascii="Calibri" w:cs="Calibri" w:eastAsia="Calibri" w:hAnsi="Calibri"/>
        </w:rPr>
        <w:t xml:space="preserve">A condensed line:</w:t>
      </w:r>
    </w:p>
    <w:p>
      <w:pPr>
        <w:spacing w:after="17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17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17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17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7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17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17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Your journey continues</w:t>
      </w:r>
    </w:p>
    <w:p>
      <w:pPr>
        <w:shd w:fill="ECE9F7" w:color="auto" w:val="clear"/>
        <w:spacing w:after="160" w:line="120"/>
      </w:pPr>
    </w:p>
    <w:p>
      <w:pPr>
        <w:pStyle w:val="Heading1"/>
        <w:pageBreakBefore/>
      </w:pPr>
      <w:r>
        <w:t xml:space="preserve">Your journey continues</w:t>
      </w:r>
    </w:p>
    <w:p>
      <w:pPr>
        <w:spacing w:after="170" w:line="330"/>
      </w:pPr>
      <w:r>
        <w:rPr>
          <w:rFonts w:ascii="Calibri" w:cs="Calibri" w:eastAsia="Calibri" w:hAnsi="Calibri"/>
        </w:rPr>
        <w:t xml:space="preserve">You started this book with a sign in a park.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17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17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17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Pr>
        <w:spacing w:after="90" w:line="262"/>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62"/>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sectPr>
          <w:headerReference w:type="default" r:id="rId13"/>
          <w:footerReference w:type="default" r:id="rId14"/>
          <w:type w:val="continuous"/>
          <w:pgSz w:w="9979" w:h="14175" w:orient="portrait"/>
          <w:pgMar w:top="1134" w:right="1134" w:bottom="1134" w:left="1134" w:header="567" w:footer="510" w:gutter="0"/>
          <w:pgNumType/>
          <w:cols w:space="454" w:num="2" w:equalWidth="true"/>
          <w:docGrid w:linePitch="360"/>
        </w:sectPr>
      </w:pP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5"/>
          <w:footerReference w:type="default" r:id="rId16"/>
          <w:type w:val="continuous"/>
          <w:pgSz w:w="9979" w:h="14175" w:orient="portrait"/>
          <w:pgMar w:top="1134" w:right="1134" w:bottom="1134" w:left="1134" w:header="567" w:footer="510" w:gutter="0"/>
          <w:pgNumType/>
          <w:docGrid w:linePitch="360"/>
        </w:sectPr>
      </w:pPr>
    </w:p>
    <w:p/>
    <w:p>
      <w:pPr>
        <w:sectPr>
          <w:headerReference w:type="default" r:id="rId17"/>
          <w:footerReference w:type="default" r:id="rId18"/>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334125" cy="9001125"/>
                    </a:xfrm>
                    <a:prstGeom prst="rect">
                      <a:avLst/>
                    </a:prstGeom>
                  </pic:spPr>
                </pic:pic>
              </a:graphicData>
            </a:graphic>
          </wp:anchor>
        </w:drawing>
      </w:r>
    </w:p>
    <w:sectPr>
      <w:headerReference w:type="default" r:id="rId19"/>
      <w:footerReference w:type="default" r:id="rId20"/>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20" w:line="232"/>
    </w:pPr>
    <w:rPr>
      <w:sz w:val="19"/>
      <w:szCs w:val="19"/>
    </w:rPr>
  </w:style>
  <w:style w:type="paragraph" w:styleId="TOC2">
    <w:name w:val="toc 2"/>
    <w:basedOn w:val="Normal"/>
    <w:next w:val="Normal"/>
    <w:pPr>
      <w:spacing w:after="0" w:before="0" w:line="232"/>
      <w:ind w:left="280"/>
    </w:pPr>
    <w:rPr>
      <w:sz w:val="19"/>
      <w:szCs w:val="19"/>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0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image" Target="media/b884aadf53cb4332dd70d16cdf77808f40c2c092.jpg"/><Relationship Id="rId22" Type="http://schemas.openxmlformats.org/officeDocument/2006/relationships/image" Target="media/51e07d82057055474ef38d10c2f5d48d2a21b82c.png"/><Relationship Id="rId23" Type="http://schemas.openxmlformats.org/officeDocument/2006/relationships/image" Target="media/78758577005b9655244d99484eb57892de870359.png"/><Relationship Id="rId24" Type="http://schemas.openxmlformats.org/officeDocument/2006/relationships/image" Target="media/5a151447547c3e5ba94b2f95cd21d59b39ce618f.jp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2026-09-25T21:39:07.742Z</dcterms:created>
  <dcterms:modified xsi:type="dcterms:W3CDTF">2026-09-25T21:39:07.743Z</dcterms:modified>
</cp:coreProperties>
</file>

<file path=docProps/custom.xml><?xml version="1.0" encoding="utf-8"?>
<Properties xmlns="http://schemas.openxmlformats.org/officeDocument/2006/custom-properties" xmlns:vt="http://schemas.openxmlformats.org/officeDocument/2006/docPropsVTypes"/>
</file>