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Arial" w:hAnsi="Arial"/>
          <w:b/>
          <w:color w:val="2563EB"/>
          <w:sz w:val="19"/>
        </w:rPr>
        <w:t>EDTECH • IA GÉNÉRATIVE • RAG • MULTI-TENANT • MICRO-SERVICES</w:t>
        <w:br/>
      </w:r>
      <w:r>
        <w:rPr>
          <w:rFonts w:ascii="Arial" w:hAnsi="Arial"/>
          <w:b/>
          <w:color w:val="0F172A"/>
          <w:sz w:val="56"/>
        </w:rPr>
        <w:t>AMANUS LEARN AI</w:t>
      </w:r>
    </w:p>
    <w:p>
      <w:pPr>
        <w:spacing w:before="40" w:after="360"/>
      </w:pPr>
      <w:r>
        <w:rPr>
          <w:rFonts w:ascii="Arial" w:hAnsi="Arial"/>
          <w:color w:val="1E3A8A"/>
          <w:sz w:val="30"/>
        </w:rPr>
        <w:t>Rapport Global de Synthèse Technique, Fonctionnelle &amp; Opérationnelle</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3168"/>
            <w:shd w:fill="F8FAFC"/>
            <w:tcMar>
              <w:top w:w="80" w:type="dxa"/>
              <w:bottom w:w="80" w:type="dxa"/>
              <w:left w:w="120" w:type="dxa"/>
              <w:right w:w="100" w:type="dxa"/>
            </w:tcMar>
          </w:tcPr>
          <w:p>
            <w:pPr>
              <w:spacing w:line="276" w:lineRule="auto"/>
            </w:pPr>
            <w:r>
              <w:rPr>
                <w:rFonts w:ascii="Arial" w:hAnsi="Arial"/>
                <w:b/>
                <w:color w:val="0F172A"/>
                <w:sz w:val="19"/>
              </w:rPr>
              <w:t>Version de la Plateforme</w:t>
            </w:r>
          </w:p>
        </w:tc>
        <w:tc>
          <w:tcPr>
            <w:tcW w:type="dxa" w:w="6192"/>
            <w:shd w:fill="FFFFFF"/>
            <w:tcMar>
              <w:top w:w="80" w:type="dxa"/>
              <w:bottom w:w="80" w:type="dxa"/>
              <w:left w:w="120" w:type="dxa"/>
              <w:right w:w="100" w:type="dxa"/>
            </w:tcMar>
          </w:tcPr>
          <w:p>
            <w:pPr>
              <w:spacing w:line="276" w:lineRule="auto"/>
            </w:pPr>
            <w:r>
              <w:rPr>
                <w:rFonts w:ascii="Arial" w:hAnsi="Arial"/>
                <w:color w:val="334155"/>
                <w:sz w:val="19"/>
              </w:rPr>
              <w:t>1.0 Enterprise Production Ready (Phases 00 à 16 Validées)</w:t>
            </w:r>
          </w:p>
        </w:tc>
      </w:tr>
      <w:tr>
        <w:tc>
          <w:tcPr>
            <w:tcW w:type="dxa" w:w="3168"/>
            <w:shd w:fill="F8FAFC"/>
            <w:tcMar>
              <w:top w:w="80" w:type="dxa"/>
              <w:bottom w:w="80" w:type="dxa"/>
              <w:left w:w="120" w:type="dxa"/>
              <w:right w:w="100" w:type="dxa"/>
            </w:tcMar>
          </w:tcPr>
          <w:p>
            <w:pPr>
              <w:spacing w:line="276" w:lineRule="auto"/>
            </w:pPr>
            <w:r>
              <w:rPr>
                <w:rFonts w:ascii="Arial" w:hAnsi="Arial"/>
                <w:b/>
                <w:color w:val="0F172A"/>
                <w:sz w:val="19"/>
              </w:rPr>
              <w:t>Date d'Édition</w:t>
            </w:r>
          </w:p>
        </w:tc>
        <w:tc>
          <w:tcPr>
            <w:tcW w:type="dxa" w:w="6192"/>
            <w:shd w:fill="FFFFFF"/>
            <w:tcMar>
              <w:top w:w="80" w:type="dxa"/>
              <w:bottom w:w="80" w:type="dxa"/>
              <w:left w:w="120" w:type="dxa"/>
              <w:right w:w="100" w:type="dxa"/>
            </w:tcMar>
          </w:tcPr>
          <w:p>
            <w:pPr>
              <w:spacing w:line="276" w:lineRule="auto"/>
            </w:pPr>
            <w:r>
              <w:rPr>
                <w:rFonts w:ascii="Arial" w:hAnsi="Arial"/>
                <w:color w:val="334155"/>
                <w:sz w:val="19"/>
              </w:rPr>
              <w:t>Octobre 2026</w:t>
            </w:r>
          </w:p>
        </w:tc>
      </w:tr>
      <w:tr>
        <w:tc>
          <w:tcPr>
            <w:tcW w:type="dxa" w:w="3168"/>
            <w:shd w:fill="F8FAFC"/>
            <w:tcMar>
              <w:top w:w="80" w:type="dxa"/>
              <w:bottom w:w="80" w:type="dxa"/>
              <w:left w:w="120" w:type="dxa"/>
              <w:right w:w="100" w:type="dxa"/>
            </w:tcMar>
          </w:tcPr>
          <w:p>
            <w:pPr>
              <w:spacing w:line="276" w:lineRule="auto"/>
            </w:pPr>
            <w:r>
              <w:rPr>
                <w:rFonts w:ascii="Arial" w:hAnsi="Arial"/>
                <w:b/>
                <w:color w:val="0F172A"/>
                <w:sz w:val="19"/>
              </w:rPr>
              <w:t>Périmètre Architectural</w:t>
            </w:r>
          </w:p>
        </w:tc>
        <w:tc>
          <w:tcPr>
            <w:tcW w:type="dxa" w:w="6192"/>
            <w:shd w:fill="FFFFFF"/>
            <w:tcMar>
              <w:top w:w="80" w:type="dxa"/>
              <w:bottom w:w="80" w:type="dxa"/>
              <w:left w:w="120" w:type="dxa"/>
              <w:right w:w="100" w:type="dxa"/>
            </w:tcMar>
          </w:tcPr>
          <w:p>
            <w:pPr>
              <w:spacing w:line="276" w:lineRule="auto"/>
            </w:pPr>
            <w:r>
              <w:rPr>
                <w:rFonts w:ascii="Arial" w:hAnsi="Arial"/>
                <w:color w:val="334155"/>
                <w:sz w:val="19"/>
              </w:rPr>
              <w:t>Monorepo Full-Stack : Next.js 14, Django REST Framework, Celery, PostgreSQL pgvector, Redis, Docker</w:t>
            </w:r>
          </w:p>
        </w:tc>
      </w:tr>
      <w:tr>
        <w:tc>
          <w:tcPr>
            <w:tcW w:type="dxa" w:w="3168"/>
            <w:shd w:fill="F8FAFC"/>
            <w:tcMar>
              <w:top w:w="80" w:type="dxa"/>
              <w:bottom w:w="80" w:type="dxa"/>
              <w:left w:w="120" w:type="dxa"/>
              <w:right w:w="100" w:type="dxa"/>
            </w:tcMar>
          </w:tcPr>
          <w:p>
            <w:pPr>
              <w:spacing w:line="276" w:lineRule="auto"/>
            </w:pPr>
            <w:r>
              <w:rPr>
                <w:rFonts w:ascii="Arial" w:hAnsi="Arial"/>
                <w:b/>
                <w:color w:val="0F172A"/>
                <w:sz w:val="19"/>
              </w:rPr>
              <w:t>Couverture Multilingue</w:t>
            </w:r>
          </w:p>
        </w:tc>
        <w:tc>
          <w:tcPr>
            <w:tcW w:type="dxa" w:w="6192"/>
            <w:shd w:fill="FFFFFF"/>
            <w:tcMar>
              <w:top w:w="80" w:type="dxa"/>
              <w:bottom w:w="80" w:type="dxa"/>
              <w:left w:w="120" w:type="dxa"/>
              <w:right w:w="100" w:type="dxa"/>
            </w:tcMar>
          </w:tcPr>
          <w:p>
            <w:pPr>
              <w:spacing w:line="276" w:lineRule="auto"/>
            </w:pPr>
            <w:r>
              <w:rPr>
                <w:rFonts w:ascii="Arial" w:hAnsi="Arial"/>
                <w:color w:val="334155"/>
                <w:sz w:val="19"/>
              </w:rPr>
              <w:t>Français (FR), Arabe natif avec orientation RTL (AR), Anglais (EN)</w:t>
            </w:r>
          </w:p>
        </w:tc>
      </w:tr>
      <w:tr>
        <w:tc>
          <w:tcPr>
            <w:tcW w:type="dxa" w:w="3168"/>
            <w:shd w:fill="F8FAFC"/>
            <w:tcMar>
              <w:top w:w="80" w:type="dxa"/>
              <w:bottom w:w="80" w:type="dxa"/>
              <w:left w:w="120" w:type="dxa"/>
              <w:right w:w="100" w:type="dxa"/>
            </w:tcMar>
          </w:tcPr>
          <w:p>
            <w:pPr>
              <w:spacing w:line="276" w:lineRule="auto"/>
            </w:pPr>
            <w:r>
              <w:rPr>
                <w:rFonts w:ascii="Arial" w:hAnsi="Arial"/>
                <w:b/>
                <w:color w:val="0F172A"/>
                <w:sz w:val="19"/>
              </w:rPr>
              <w:t>Statut Opérationnel</w:t>
            </w:r>
          </w:p>
        </w:tc>
        <w:tc>
          <w:tcPr>
            <w:tcW w:type="dxa" w:w="6192"/>
            <w:shd w:fill="FFFFFF"/>
            <w:tcMar>
              <w:top w:w="80" w:type="dxa"/>
              <w:bottom w:w="80" w:type="dxa"/>
              <w:left w:w="120" w:type="dxa"/>
              <w:right w:w="100" w:type="dxa"/>
            </w:tcMar>
          </w:tcPr>
          <w:p>
            <w:pPr>
              <w:spacing w:line="276" w:lineRule="auto"/>
            </w:pPr>
            <w:r>
              <w:rPr>
                <w:rFonts w:ascii="Arial" w:hAnsi="Arial"/>
                <w:color w:val="334155"/>
                <w:sz w:val="19"/>
              </w:rPr>
              <w:t>Déploiement Zero-Downtime, Monitoring Prometheus/Grafana, SSL Automatisé</w:t>
            </w:r>
          </w:p>
        </w:tc>
      </w:tr>
    </w:tbl>
    <w:p>
      <w:r>
        <w:br w:type="page"/>
      </w:r>
    </w:p>
    <w:p>
      <w:pPr>
        <w:pStyle w:val="Heading1"/>
        <w:spacing w:before="320" w:after="160"/>
      </w:pPr>
      <w:r>
        <w:t>1. Résumé Exécutif &amp; Proposition de Valeur</w:t>
      </w:r>
    </w:p>
    <w:p>
      <w:pPr>
        <w:spacing w:line="276" w:lineRule="auto" w:after="160"/>
      </w:pPr>
      <w:r>
        <w:t>Amanus Learn AI est une plateforme SaaS d'apprentissage augmenté de nouvelle génération, conçue pour combler le fossé entre les corpus documentaires statiques (cours magistraux, polycopiés, manuels d'entreprise, procédures réglementaires) et l'expérience d'apprentissage interactive et personnalisée. Grâce à un pipeline hybride articulant reconnaissance optique de caractères (OCR), recherche vectorielle augmentée par génération (RAG - Retrieval-Augmented Generation) et modèles de langage avancés (LLM), la plateforme transforme automatiquement n'importe quel document PDF, Word, PowerPoint ou texte en un écosystème d'apprentissage complet.</w:t>
      </w:r>
    </w:p>
    <w:tbl>
      <w:tblPr>
        <w:tblW w:type="auto" w:w="0"/>
        <w:jc w:val="center"/>
        <w:tblLayout w:type="fixed"/>
        <w:tblLook w:firstColumn="1" w:firstRow="1" w:lastColumn="0" w:lastRow="0" w:noHBand="0" w:noVBand="1" w:val="04A0"/>
      </w:tblPr>
      <w:tblGrid>
        <w:gridCol w:w="9936"/>
      </w:tblGrid>
      <w:tr>
        <w:tc>
          <w:tcPr>
            <w:tcW w:type="dxa" w:w="9360"/>
            <w:shd w:fill="ECFDF5"/>
            <w:tcMar>
              <w:top w:w="140" w:type="dxa"/>
              <w:bottom w:w="140" w:type="dxa"/>
              <w:left w:w="200" w:type="dxa"/>
              <w:right w:w="180" w:type="dxa"/>
            </w:tcMar>
            <w:tcBorders>
              <w:left w:val="single" w:sz="24" w:space="0" w:color="059669"/>
              <w:top w:val="none"/>
              <w:right w:val="none"/>
              <w:bottom w:val="none"/>
            </w:tcBorders>
          </w:tcPr>
          <w:p>
            <w:pPr>
              <w:spacing w:before="40" w:after="40" w:line="276" w:lineRule="auto"/>
            </w:pPr>
            <w:r>
              <w:rPr>
                <w:rFonts w:ascii="Arial" w:hAnsi="Arial"/>
                <w:b/>
                <w:color w:val="1E3A8A"/>
                <w:sz w:val="21"/>
              </w:rPr>
              <w:t>PRINCIPE DIRECTEUR : VÉRITÉ TERRAIN &amp; ANTI-HALLUCINATION</w:t>
              <w:br/>
            </w:r>
            <w:r>
              <w:rPr>
                <w:rFonts w:ascii="Arial" w:hAnsi="Arial"/>
                <w:color w:val="334155"/>
                <w:sz w:val="20"/>
              </w:rPr>
              <w:t>« L'objectif fondamental d'Amanus Learn AI est de garantir un apprentissage haute fidélité sans hallucination : chaque réponse du tuteur virtuel, chaque question de quiz et chaque résumé de cours est rigoureusement indexé et relié à sa source documentaire exacte avec renvoi précis au numéro de page et au paragraphe. »</w:t>
            </w:r>
          </w:p>
        </w:tc>
      </w:tr>
    </w:tbl>
    <w:p>
      <w:pPr>
        <w:spacing w:before="80" w:after="120"/>
      </w:pPr>
    </w:p>
    <w:p>
      <w:pPr>
        <w:spacing w:after="120"/>
      </w:pPr>
      <w:r>
        <w:rPr>
          <w:b/>
          <w:color w:val="1E3A8A"/>
        </w:rPr>
        <w:t>Les 4 Piliers Stratégiques de la Plateforme :</w:t>
      </w:r>
    </w:p>
    <w:p>
      <w:pPr>
        <w:pStyle w:val="ListBullet"/>
        <w:spacing w:line="276" w:lineRule="auto" w:after="80"/>
      </w:pPr>
      <w:r>
        <w:rPr>
          <w:b/>
          <w:color w:val="0F172A"/>
        </w:rPr>
        <w:t>Ingestion Multi-Format &amp; OCR :</w:t>
      </w:r>
      <w:r>
        <w:rPr>
          <w:color w:val="334155"/>
        </w:rPr>
        <w:t xml:space="preserve"> Prise en charge native des fichiers PDF textuels ou scannés, DOCX, PPTX et TXT avec segmentation sémantique intelligente (chunking) et calcul d'embeddings vectoriels de haute densité.</w:t>
      </w:r>
    </w:p>
    <w:p>
      <w:pPr>
        <w:pStyle w:val="ListBullet"/>
        <w:spacing w:line="276" w:lineRule="auto" w:after="80"/>
      </w:pPr>
      <w:r>
        <w:rPr>
          <w:b/>
          <w:color w:val="0F172A"/>
        </w:rPr>
        <w:t>RAG Haute Précision &amp; Curation :</w:t>
      </w:r>
      <w:r>
        <w:rPr>
          <w:color w:val="334155"/>
        </w:rPr>
        <w:t xml:space="preserve"> Indexation vectorielle sous PostgreSQL avec l'extension pgvector, permettant des recherches sémantiques instantanées et des citations directes de passages sources.</w:t>
      </w:r>
    </w:p>
    <w:p>
      <w:pPr>
        <w:pStyle w:val="ListBullet"/>
        <w:spacing w:line="276" w:lineRule="auto" w:after="80"/>
      </w:pPr>
      <w:r>
        <w:rPr>
          <w:b/>
          <w:color w:val="0F172A"/>
        </w:rPr>
        <w:t>Génération Multimodale Autonome :</w:t>
      </w:r>
      <w:r>
        <w:rPr>
          <w:color w:val="334155"/>
        </w:rPr>
        <w:t xml:space="preserve"> Synthèse automatique de cours structurés en chapitres et leçons, génération de quiz adaptatifs, production de présentations PowerPoint éditables et synthèse vocale TTS pour l'écoute mobile.</w:t>
      </w:r>
    </w:p>
    <w:p>
      <w:pPr>
        <w:pStyle w:val="ListBullet"/>
        <w:spacing w:line="276" w:lineRule="auto" w:after="80"/>
      </w:pPr>
      <w:r>
        <w:rPr>
          <w:b/>
          <w:color w:val="0F172A"/>
        </w:rPr>
        <w:t>Expérience Immersive &amp; Inclusive :</w:t>
      </w:r>
      <w:r>
        <w:rPr>
          <w:color w:val="334155"/>
        </w:rPr>
        <w:t xml:space="preserve"> Interface ultra-moderne Dark Glassmorphism, support natif trilingue (Français, Anglais, Arabe avec mise en page RTL complète) et tutorat interactif par chat en flux continu (SSE).</w:t>
      </w:r>
    </w:p>
    <w:p>
      <w:pPr>
        <w:pStyle w:val="Heading1"/>
        <w:spacing w:before="320" w:after="160"/>
      </w:pPr>
      <w:r>
        <w:t>2. Architecture Technique &amp; Topologie Monorepo</w:t>
      </w:r>
    </w:p>
    <w:p>
      <w:pPr>
        <w:spacing w:line="276" w:lineRule="auto" w:after="160"/>
      </w:pPr>
      <w:r>
        <w:t>Amanus Learn AI adopte une architecture modulaire en monorepo découplant strictement la couche d'interface utilisateur (Next.js 14) et la couche de services métier et de persistance (Django REST Framework, Celery, PostgreSQL). Cette séparation garantit des performances optimales, une maintenance simplifiée et une évolutivité horizontale indépendante.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c>
          <w:tcPr>
            <w:tcW w:type="dxa" w:w="2160"/>
            <w:shd w:fill="1E3A8A"/>
            <w:tcMar>
              <w:top w:w="100" w:type="dxa"/>
              <w:bottom w:w="100" w:type="dxa"/>
              <w:left w:w="120" w:type="dxa"/>
              <w:right w:w="100" w:type="dxa"/>
            </w:tcMar>
          </w:tcPr>
          <w:p>
            <w:r>
              <w:rPr>
                <w:rFonts w:ascii="Arial" w:hAnsi="Arial"/>
                <w:b/>
                <w:color w:val="FFFFFF"/>
                <w:sz w:val="19"/>
              </w:rPr>
              <w:t>Couche</w:t>
            </w:r>
          </w:p>
        </w:tc>
        <w:tc>
          <w:tcPr>
            <w:tcW w:type="dxa" w:w="3312"/>
            <w:shd w:fill="1E3A8A"/>
            <w:tcMar>
              <w:top w:w="100" w:type="dxa"/>
              <w:bottom w:w="100" w:type="dxa"/>
              <w:left w:w="120" w:type="dxa"/>
              <w:right w:w="100" w:type="dxa"/>
            </w:tcMar>
          </w:tcPr>
          <w:p>
            <w:r>
              <w:rPr>
                <w:rFonts w:ascii="Arial" w:hAnsi="Arial"/>
                <w:b/>
                <w:color w:val="FFFFFF"/>
                <w:sz w:val="19"/>
              </w:rPr>
              <w:t>Technologies &amp; Outils</w:t>
            </w:r>
          </w:p>
        </w:tc>
        <w:tc>
          <w:tcPr>
            <w:tcW w:type="dxa" w:w="3888"/>
            <w:shd w:fill="1E3A8A"/>
            <w:tcMar>
              <w:top w:w="100" w:type="dxa"/>
              <w:bottom w:w="100" w:type="dxa"/>
              <w:left w:w="120" w:type="dxa"/>
              <w:right w:w="100" w:type="dxa"/>
            </w:tcMar>
          </w:tcPr>
          <w:p>
            <w:r>
              <w:rPr>
                <w:rFonts w:ascii="Arial" w:hAnsi="Arial"/>
                <w:b/>
                <w:color w:val="FFFFFF"/>
                <w:sz w:val="19"/>
              </w:rPr>
              <w:t>Rôle &amp; Responsabilités Clés</w:t>
            </w:r>
          </w:p>
        </w:tc>
      </w:tr>
      <w:tr>
        <w:tc>
          <w:tcPr>
            <w:tcW w:type="dxa" w:w="2160"/>
            <w:shd w:fill="F8FAFC"/>
            <w:tcMar>
              <w:top w:w="80" w:type="dxa"/>
              <w:bottom w:w="80" w:type="dxa"/>
              <w:left w:w="100" w:type="dxa"/>
              <w:right w:w="100" w:type="dxa"/>
            </w:tcMar>
          </w:tcPr>
          <w:p>
            <w:pPr>
              <w:spacing w:line="276" w:lineRule="auto"/>
            </w:pPr>
            <w:r>
              <w:rPr>
                <w:rFonts w:ascii="Arial" w:hAnsi="Arial"/>
                <w:b/>
                <w:color w:val="0F172A"/>
                <w:sz w:val="17"/>
              </w:rPr>
              <w:t>Frontend Web</w:t>
            </w:r>
          </w:p>
        </w:tc>
        <w:tc>
          <w:tcPr>
            <w:tcW w:type="dxa" w:w="3312"/>
            <w:shd w:fill="F8FAFC"/>
            <w:tcMar>
              <w:top w:w="80" w:type="dxa"/>
              <w:bottom w:w="80" w:type="dxa"/>
              <w:left w:w="100" w:type="dxa"/>
              <w:right w:w="100" w:type="dxa"/>
            </w:tcMar>
          </w:tcPr>
          <w:p>
            <w:pPr>
              <w:spacing w:line="276" w:lineRule="auto"/>
            </w:pPr>
            <w:r>
              <w:rPr>
                <w:rFonts w:ascii="Arial" w:hAnsi="Arial"/>
                <w:color w:val="334155"/>
                <w:sz w:val="17"/>
              </w:rPr>
              <w:t>Next.js 14 (App Router), TypeScript, Tailwind CSS, Lucide Icons, Vitest</w:t>
            </w:r>
          </w:p>
        </w:tc>
        <w:tc>
          <w:tcPr>
            <w:tcW w:type="dxa" w:w="3888"/>
            <w:shd w:fill="F8FAFC"/>
            <w:tcMar>
              <w:top w:w="80" w:type="dxa"/>
              <w:bottom w:w="80" w:type="dxa"/>
              <w:left w:w="100" w:type="dxa"/>
              <w:right w:w="100" w:type="dxa"/>
            </w:tcMar>
          </w:tcPr>
          <w:p>
            <w:pPr>
              <w:spacing w:line="276" w:lineRule="auto"/>
            </w:pPr>
            <w:r>
              <w:rPr>
                <w:rFonts w:ascii="Arial" w:hAnsi="Arial"/>
                <w:color w:val="334155"/>
                <w:sz w:val="17"/>
              </w:rPr>
              <w:t>Interface réactive SPA/SSR, design Dark Glassmorphism, support i18n FR/AR/EN avec basculement RTL complet, lecteurs multimédia intégrés.</w:t>
            </w:r>
          </w:p>
        </w:tc>
      </w:tr>
      <w:tr>
        <w:tc>
          <w:tcPr>
            <w:tcW w:type="dxa" w:w="2160"/>
            <w:shd w:fill="FFFFFF"/>
            <w:tcMar>
              <w:top w:w="80" w:type="dxa"/>
              <w:bottom w:w="80" w:type="dxa"/>
              <w:left w:w="100" w:type="dxa"/>
              <w:right w:w="100" w:type="dxa"/>
            </w:tcMar>
          </w:tcPr>
          <w:p>
            <w:pPr>
              <w:spacing w:line="276" w:lineRule="auto"/>
            </w:pPr>
            <w:r>
              <w:rPr>
                <w:rFonts w:ascii="Arial" w:hAnsi="Arial"/>
                <w:b/>
                <w:color w:val="0F172A"/>
                <w:sz w:val="17"/>
              </w:rPr>
              <w:t>Backend API</w:t>
            </w:r>
          </w:p>
        </w:tc>
        <w:tc>
          <w:tcPr>
            <w:tcW w:type="dxa" w:w="3312"/>
            <w:shd w:fill="FFFFFF"/>
            <w:tcMar>
              <w:top w:w="80" w:type="dxa"/>
              <w:bottom w:w="80" w:type="dxa"/>
              <w:left w:w="100" w:type="dxa"/>
              <w:right w:w="100" w:type="dxa"/>
            </w:tcMar>
          </w:tcPr>
          <w:p>
            <w:pPr>
              <w:spacing w:line="276" w:lineRule="auto"/>
            </w:pPr>
            <w:r>
              <w:rPr>
                <w:rFonts w:ascii="Arial" w:hAnsi="Arial"/>
                <w:color w:val="334155"/>
                <w:sz w:val="17"/>
              </w:rPr>
              <w:t>Django 5.0, Django REST Framework, SimpleJWT, Gunicorn (gthread)</w:t>
            </w:r>
          </w:p>
        </w:tc>
        <w:tc>
          <w:tcPr>
            <w:tcW w:type="dxa" w:w="3888"/>
            <w:shd w:fill="FFFFFF"/>
            <w:tcMar>
              <w:top w:w="80" w:type="dxa"/>
              <w:bottom w:w="80" w:type="dxa"/>
              <w:left w:w="100" w:type="dxa"/>
              <w:right w:w="100" w:type="dxa"/>
            </w:tcMar>
          </w:tcPr>
          <w:p>
            <w:pPr>
              <w:spacing w:line="276" w:lineRule="auto"/>
            </w:pPr>
            <w:r>
              <w:rPr>
                <w:rFonts w:ascii="Arial" w:hAnsi="Arial"/>
                <w:color w:val="334155"/>
                <w:sz w:val="17"/>
              </w:rPr>
              <w:t>API RESTful haute performance, authentification JWT sans état (Stateless), règles d'isolation multi-tenant strictes, moteur RAG et orchestrateur IA.</w:t>
            </w:r>
          </w:p>
        </w:tc>
      </w:tr>
      <w:tr>
        <w:tc>
          <w:tcPr>
            <w:tcW w:type="dxa" w:w="2160"/>
            <w:shd w:fill="F8FAFC"/>
            <w:tcMar>
              <w:top w:w="80" w:type="dxa"/>
              <w:bottom w:w="80" w:type="dxa"/>
              <w:left w:w="100" w:type="dxa"/>
              <w:right w:w="100" w:type="dxa"/>
            </w:tcMar>
          </w:tcPr>
          <w:p>
            <w:pPr>
              <w:spacing w:line="276" w:lineRule="auto"/>
            </w:pPr>
            <w:r>
              <w:rPr>
                <w:rFonts w:ascii="Arial" w:hAnsi="Arial"/>
                <w:b/>
                <w:color w:val="0F172A"/>
                <w:sz w:val="17"/>
              </w:rPr>
              <w:t>Base Vectorielle</w:t>
            </w:r>
          </w:p>
        </w:tc>
        <w:tc>
          <w:tcPr>
            <w:tcW w:type="dxa" w:w="3312"/>
            <w:shd w:fill="F8FAFC"/>
            <w:tcMar>
              <w:top w:w="80" w:type="dxa"/>
              <w:bottom w:w="80" w:type="dxa"/>
              <w:left w:w="100" w:type="dxa"/>
              <w:right w:w="100" w:type="dxa"/>
            </w:tcMar>
          </w:tcPr>
          <w:p>
            <w:pPr>
              <w:spacing w:line="276" w:lineRule="auto"/>
            </w:pPr>
            <w:r>
              <w:rPr>
                <w:rFonts w:ascii="Arial" w:hAnsi="Arial"/>
                <w:color w:val="334155"/>
                <w:sz w:val="17"/>
              </w:rPr>
              <w:t>PostgreSQL 16, pgvector, HNSW / Cosine Indexing</w:t>
            </w:r>
          </w:p>
        </w:tc>
        <w:tc>
          <w:tcPr>
            <w:tcW w:type="dxa" w:w="3888"/>
            <w:shd w:fill="F8FAFC"/>
            <w:tcMar>
              <w:top w:w="80" w:type="dxa"/>
              <w:bottom w:w="80" w:type="dxa"/>
              <w:left w:w="100" w:type="dxa"/>
              <w:right w:w="100" w:type="dxa"/>
            </w:tcMar>
          </w:tcPr>
          <w:p>
            <w:pPr>
              <w:spacing w:line="276" w:lineRule="auto"/>
            </w:pPr>
            <w:r>
              <w:rPr>
                <w:rFonts w:ascii="Arial" w:hAnsi="Arial"/>
                <w:color w:val="334155"/>
                <w:sz w:val="17"/>
              </w:rPr>
              <w:t>Stockage relationnel ACID des métadonnées et stockage vectoriel des embeddings de documents pour la recherche sémantique ultra-rapide.</w:t>
            </w:r>
          </w:p>
        </w:tc>
      </w:tr>
      <w:tr>
        <w:tc>
          <w:tcPr>
            <w:tcW w:type="dxa" w:w="2160"/>
            <w:shd w:fill="FFFFFF"/>
            <w:tcMar>
              <w:top w:w="80" w:type="dxa"/>
              <w:bottom w:w="80" w:type="dxa"/>
              <w:left w:w="100" w:type="dxa"/>
              <w:right w:w="100" w:type="dxa"/>
            </w:tcMar>
          </w:tcPr>
          <w:p>
            <w:pPr>
              <w:spacing w:line="276" w:lineRule="auto"/>
            </w:pPr>
            <w:r>
              <w:rPr>
                <w:rFonts w:ascii="Arial" w:hAnsi="Arial"/>
                <w:b/>
                <w:color w:val="0F172A"/>
                <w:sz w:val="17"/>
              </w:rPr>
              <w:t>Workers Asynchrones</w:t>
            </w:r>
          </w:p>
        </w:tc>
        <w:tc>
          <w:tcPr>
            <w:tcW w:type="dxa" w:w="3312"/>
            <w:shd w:fill="FFFFFF"/>
            <w:tcMar>
              <w:top w:w="80" w:type="dxa"/>
              <w:bottom w:w="80" w:type="dxa"/>
              <w:left w:w="100" w:type="dxa"/>
              <w:right w:w="100" w:type="dxa"/>
            </w:tcMar>
          </w:tcPr>
          <w:p>
            <w:pPr>
              <w:spacing w:line="276" w:lineRule="auto"/>
            </w:pPr>
            <w:r>
              <w:rPr>
                <w:rFonts w:ascii="Arial" w:hAnsi="Arial"/>
                <w:color w:val="334155"/>
                <w:sz w:val="17"/>
              </w:rPr>
              <w:t>Celery 5.3, Redis 7 (Broker &amp; Result Backend)</w:t>
            </w:r>
          </w:p>
        </w:tc>
        <w:tc>
          <w:tcPr>
            <w:tcW w:type="dxa" w:w="3888"/>
            <w:shd w:fill="FFFFFF"/>
            <w:tcMar>
              <w:top w:w="80" w:type="dxa"/>
              <w:bottom w:w="80" w:type="dxa"/>
              <w:left w:w="100" w:type="dxa"/>
              <w:right w:w="100" w:type="dxa"/>
            </w:tcMar>
          </w:tcPr>
          <w:p>
            <w:pPr>
              <w:spacing w:line="276" w:lineRule="auto"/>
            </w:pPr>
            <w:r>
              <w:rPr>
                <w:rFonts w:ascii="Arial" w:hAnsi="Arial"/>
                <w:color w:val="334155"/>
                <w:sz w:val="17"/>
              </w:rPr>
              <w:t>Exécution asynchrone découplée : file 'default' pour transactions rapides et alertes ; file 'heavy' pour OCR, embeddings, TTS et exports PPTX.</w:t>
            </w:r>
          </w:p>
        </w:tc>
      </w:tr>
      <w:tr>
        <w:tc>
          <w:tcPr>
            <w:tcW w:type="dxa" w:w="2160"/>
            <w:shd w:fill="F8FAFC"/>
            <w:tcMar>
              <w:top w:w="80" w:type="dxa"/>
              <w:bottom w:w="80" w:type="dxa"/>
              <w:left w:w="100" w:type="dxa"/>
              <w:right w:w="100" w:type="dxa"/>
            </w:tcMar>
          </w:tcPr>
          <w:p>
            <w:pPr>
              <w:spacing w:line="276" w:lineRule="auto"/>
            </w:pPr>
            <w:r>
              <w:rPr>
                <w:rFonts w:ascii="Arial" w:hAnsi="Arial"/>
                <w:b/>
                <w:color w:val="0F172A"/>
                <w:sz w:val="17"/>
              </w:rPr>
              <w:t>Stockage Fichiers</w:t>
            </w:r>
          </w:p>
        </w:tc>
        <w:tc>
          <w:tcPr>
            <w:tcW w:type="dxa" w:w="3312"/>
            <w:shd w:fill="F8FAFC"/>
            <w:tcMar>
              <w:top w:w="80" w:type="dxa"/>
              <w:bottom w:w="80" w:type="dxa"/>
              <w:left w:w="100" w:type="dxa"/>
              <w:right w:w="100" w:type="dxa"/>
            </w:tcMar>
          </w:tcPr>
          <w:p>
            <w:pPr>
              <w:spacing w:line="276" w:lineRule="auto"/>
            </w:pPr>
            <w:r>
              <w:rPr>
                <w:rFonts w:ascii="Arial" w:hAnsi="Arial"/>
                <w:color w:val="334155"/>
                <w:sz w:val="17"/>
              </w:rPr>
              <w:t>MinIO (Compatible AWS S3 API) / Volumes chiffrés</w:t>
            </w:r>
          </w:p>
        </w:tc>
        <w:tc>
          <w:tcPr>
            <w:tcW w:type="dxa" w:w="3888"/>
            <w:shd w:fill="F8FAFC"/>
            <w:tcMar>
              <w:top w:w="80" w:type="dxa"/>
              <w:bottom w:w="80" w:type="dxa"/>
              <w:left w:w="100" w:type="dxa"/>
              <w:right w:w="100" w:type="dxa"/>
            </w:tcMar>
          </w:tcPr>
          <w:p>
            <w:pPr>
              <w:spacing w:line="276" w:lineRule="auto"/>
            </w:pPr>
            <w:r>
              <w:rPr>
                <w:rFonts w:ascii="Arial" w:hAnsi="Arial"/>
                <w:color w:val="334155"/>
                <w:sz w:val="17"/>
              </w:rPr>
              <w:t>Dépôt d'objets sécurisé pour les documents sources originaux, extractions textuelles, fichiers audio générés (.mp3) et diaporamas (.pptx).</w:t>
            </w:r>
          </w:p>
        </w:tc>
      </w:tr>
      <w:tr>
        <w:tc>
          <w:tcPr>
            <w:tcW w:type="dxa" w:w="2160"/>
            <w:shd w:fill="FFFFFF"/>
            <w:tcMar>
              <w:top w:w="80" w:type="dxa"/>
              <w:bottom w:w="80" w:type="dxa"/>
              <w:left w:w="100" w:type="dxa"/>
              <w:right w:w="100" w:type="dxa"/>
            </w:tcMar>
          </w:tcPr>
          <w:p>
            <w:pPr>
              <w:spacing w:line="276" w:lineRule="auto"/>
            </w:pPr>
            <w:r>
              <w:rPr>
                <w:rFonts w:ascii="Arial" w:hAnsi="Arial"/>
                <w:b/>
                <w:color w:val="0F172A"/>
                <w:sz w:val="17"/>
              </w:rPr>
              <w:t>Reverse Proxy</w:t>
            </w:r>
          </w:p>
        </w:tc>
        <w:tc>
          <w:tcPr>
            <w:tcW w:type="dxa" w:w="3312"/>
            <w:shd w:fill="FFFFFF"/>
            <w:tcMar>
              <w:top w:w="80" w:type="dxa"/>
              <w:bottom w:w="80" w:type="dxa"/>
              <w:left w:w="100" w:type="dxa"/>
              <w:right w:w="100" w:type="dxa"/>
            </w:tcMar>
          </w:tcPr>
          <w:p>
            <w:pPr>
              <w:spacing w:line="276" w:lineRule="auto"/>
            </w:pPr>
            <w:r>
              <w:rPr>
                <w:rFonts w:ascii="Arial" w:hAnsi="Arial"/>
                <w:color w:val="334155"/>
                <w:sz w:val="17"/>
              </w:rPr>
              <w:t>Nginx 1.25 Alpine, Let's Encrypt Certbot</w:t>
            </w:r>
          </w:p>
        </w:tc>
        <w:tc>
          <w:tcPr>
            <w:tcW w:type="dxa" w:w="3888"/>
            <w:shd w:fill="FFFFFF"/>
            <w:tcMar>
              <w:top w:w="80" w:type="dxa"/>
              <w:bottom w:w="80" w:type="dxa"/>
              <w:left w:w="100" w:type="dxa"/>
              <w:right w:w="100" w:type="dxa"/>
            </w:tcMar>
          </w:tcPr>
          <w:p>
            <w:pPr>
              <w:spacing w:line="276" w:lineRule="auto"/>
            </w:pPr>
            <w:r>
              <w:rPr>
                <w:rFonts w:ascii="Arial" w:hAnsi="Arial"/>
                <w:color w:val="334155"/>
                <w:sz w:val="17"/>
              </w:rPr>
              <w:t>Terminaison SSL/TLS, limitation de débit (rate limiting), proxying non-bufférisé pour streaming SSE chat, compression gzip, distribution des fichiers statiques.</w:t>
            </w:r>
          </w:p>
        </w:tc>
      </w:tr>
      <w:tr>
        <w:tc>
          <w:tcPr>
            <w:tcW w:type="dxa" w:w="2160"/>
            <w:shd w:fill="F8FAFC"/>
            <w:tcMar>
              <w:top w:w="80" w:type="dxa"/>
              <w:bottom w:w="80" w:type="dxa"/>
              <w:left w:w="100" w:type="dxa"/>
              <w:right w:w="100" w:type="dxa"/>
            </w:tcMar>
          </w:tcPr>
          <w:p>
            <w:pPr>
              <w:spacing w:line="276" w:lineRule="auto"/>
            </w:pPr>
            <w:r>
              <w:rPr>
                <w:rFonts w:ascii="Arial" w:hAnsi="Arial"/>
                <w:b/>
                <w:color w:val="0F172A"/>
                <w:sz w:val="17"/>
              </w:rPr>
              <w:t>Observabilité</w:t>
            </w:r>
          </w:p>
        </w:tc>
        <w:tc>
          <w:tcPr>
            <w:tcW w:type="dxa" w:w="3312"/>
            <w:shd w:fill="F8FAFC"/>
            <w:tcMar>
              <w:top w:w="80" w:type="dxa"/>
              <w:bottom w:w="80" w:type="dxa"/>
              <w:left w:w="100" w:type="dxa"/>
              <w:right w:w="100" w:type="dxa"/>
            </w:tcMar>
          </w:tcPr>
          <w:p>
            <w:pPr>
              <w:spacing w:line="276" w:lineRule="auto"/>
            </w:pPr>
            <w:r>
              <w:rPr>
                <w:rFonts w:ascii="Arial" w:hAnsi="Arial"/>
                <w:color w:val="334155"/>
                <w:sz w:val="17"/>
              </w:rPr>
              <w:t>Prometheus, Grafana, Node Exporter, Redis Exporter</w:t>
            </w:r>
          </w:p>
        </w:tc>
        <w:tc>
          <w:tcPr>
            <w:tcW w:type="dxa" w:w="3888"/>
            <w:shd w:fill="F8FAFC"/>
            <w:tcMar>
              <w:top w:w="80" w:type="dxa"/>
              <w:bottom w:w="80" w:type="dxa"/>
              <w:left w:w="100" w:type="dxa"/>
              <w:right w:w="100" w:type="dxa"/>
            </w:tcMar>
          </w:tcPr>
          <w:p>
            <w:pPr>
              <w:spacing w:line="276" w:lineRule="auto"/>
            </w:pPr>
            <w:r>
              <w:rPr>
                <w:rFonts w:ascii="Arial" w:hAnsi="Arial"/>
                <w:color w:val="334155"/>
                <w:sz w:val="17"/>
              </w:rPr>
              <w:t>Collecte temps réel des métriques système, surveillance de la saturation des files Celery, débit requêtes HTTP et métriques de santé (/health).</w:t>
            </w:r>
          </w:p>
        </w:tc>
      </w:tr>
    </w:tbl>
    <w:p>
      <w:r>
        <w:br w:type="page"/>
      </w:r>
    </w:p>
    <w:p>
      <w:pPr>
        <w:pStyle w:val="Heading1"/>
        <w:spacing w:before="320" w:after="160"/>
      </w:pPr>
      <w:r>
        <w:t>3. Modules Métiers &amp; Fonctionnalités Clés</w:t>
      </w:r>
    </w:p>
    <w:p>
      <w:pPr>
        <w:pStyle w:val="Heading2"/>
        <w:spacing w:before="200" w:after="80"/>
      </w:pPr>
      <w:r>
        <w:t>3.1 Isolation Multi-Tenancy &amp; Authentification Zero-Trust</w:t>
      </w:r>
    </w:p>
    <w:p>
      <w:pPr>
        <w:spacing w:line="276" w:lineRule="auto" w:after="120"/>
      </w:pPr>
      <w:r>
        <w:t>La plateforme est conçue dès son socle pour héberger plusieurs organisations (universités, entreprises, départements) avec un cloisonnement total des données. Un utilisateur peut appartenir à plusieurs organisations avec des rôles distincts (Administrateur, Formateur/Enseignant, Apprenant). Toutes les requêtes vers la base de données appliquent un filtrage strict au niveau des lignes (Row-Level Security / Organization Scoping). L'authentification API est strictement sans état (Stateless JWT), éradiquant les vulnérabilités CSRF tout en conservant l'isolation de session pour l'administration Django.</w:t>
      </w:r>
    </w:p>
    <w:p>
      <w:pPr>
        <w:pStyle w:val="Heading2"/>
        <w:spacing w:before="200" w:after="80"/>
      </w:pPr>
      <w:r>
        <w:t>3.2 Ingestion Documentaire &amp; Moteur RAG Avancé</w:t>
      </w:r>
    </w:p>
    <w:p>
      <w:pPr>
        <w:spacing w:line="276" w:lineRule="auto" w:after="120"/>
      </w:pPr>
      <w:r>
        <w:t>Le pipeline d'ingestion prend en charge les formats PDF, DOCX, PPTX et TXT. Les documents numérisés font l'objet d'un traitement OCR précis. Le texte extrait est ensuite segmenté en blocs sémantiques cohérents (chunking adaptatif). Chaque bloc fait l'objet d'un calcul d'embedding vectoriel stocké dans PostgreSQL avec pgvector. Lors des interactions, le moteur RAG effectue une recherche par similarité cosinus avec seuillage de confiance, fournissant au LLM uniquement les passages pertinents accompagnés de leurs métadonnées d'origine (page, titre, paragraphe).</w:t>
      </w:r>
    </w:p>
    <w:p>
      <w:pPr>
        <w:pStyle w:val="Heading2"/>
        <w:spacing w:before="200" w:after="80"/>
      </w:pPr>
      <w:r>
        <w:t>3.3 Studio de Cours (LMS), Chapitres &amp; Navigation</w:t>
      </w:r>
    </w:p>
    <w:p>
      <w:pPr>
        <w:spacing w:line="276" w:lineRule="auto" w:after="120"/>
      </w:pPr>
      <w:r>
        <w:t>Le module Cours permet de structurer les contenus selon une hiérarchie pédagogique rigoureuse : Cours → Chapitres → Sections → Leçons. Les fonctionnalités majeures incluent :</w:t>
        <w:br/>
        <w:t>• Génération de plans de cours automatisée par IA à partir d'un document maître ou sur thème libre.</w:t>
        <w:br/>
        <w:t>• Gestion avancée des chapitres : recherche en temps réel par mot-clé, boutons 'Tout déplier' / 'Tout replier', accordéons par chapitre mémorisant l'état de lecture et compteurs de leçons validées.</w:t>
        <w:br/>
        <w:t>• Lecteur de leçon immersif (Lesson Viewer) avec mise en valeur des objectifs d'apprentissage, estimation du temps de lecture et validation de fin de chapitre.</w:t>
      </w:r>
    </w:p>
    <w:p>
      <w:pPr>
        <w:pStyle w:val="Heading2"/>
        <w:spacing w:before="200" w:after="80"/>
      </w:pPr>
      <w:r>
        <w:t>3.4 Moteur d'Évaluations &amp; Quiz Pédagogiques</w:t>
      </w:r>
    </w:p>
    <w:p>
      <w:pPr>
        <w:spacing w:line="276" w:lineRule="auto" w:after="120"/>
      </w:pPr>
      <w:r>
        <w:t>Le générateur de quiz extrait automatiquement les concepts clés des cours et documents pour créer des évaluations personnalisées sous forme de QCM, questions Vrai/Faux ou réponses textuelles courtes. La correction est instantanée et enrichie d'explications pédagogiques détaillées pour chaque choix de réponse, renforçant l'ancrage mémoriel de l'apprenant.</w:t>
      </w:r>
    </w:p>
    <w:p>
      <w:pPr>
        <w:pStyle w:val="Heading2"/>
        <w:spacing w:before="200" w:after="80"/>
      </w:pPr>
      <w:r>
        <w:t>3.5 Tuteur IA &amp; Chat en Streaming (SSE)</w:t>
      </w:r>
    </w:p>
    <w:p>
      <w:pPr>
        <w:spacing w:line="276" w:lineRule="auto" w:after="120"/>
      </w:pPr>
      <w:r>
        <w:t>L'assistant d'apprentissage virtuel accompagne l'étudiant 24/7. Grâce à une architecture Server-Sent Events (SSE) optimisée, les réponses sont diffusées mot à mot en temps réel sans latence perçue. L'interface de chat intègre des 'Source Citation Cards' interactives permettant de déplier le document source et de vérifier immédiatement la légitimité de l'affirmation du tuteur.</w:t>
      </w:r>
    </w:p>
    <w:p>
      <w:pPr>
        <w:pStyle w:val="Heading2"/>
        <w:spacing w:before="200" w:after="80"/>
      </w:pPr>
      <w:r>
        <w:t>3.6 Synthèse Vocale (TTS) &amp; Studio de Présentations (PPTX)</w:t>
      </w:r>
    </w:p>
    <w:p>
      <w:pPr>
        <w:spacing w:line="276" w:lineRule="auto" w:after="120"/>
      </w:pPr>
      <w:r>
        <w:t>• Audio TTS : Génération de podcasts et résumés audios avec support multi-fournisseurs (Mock, OpenAI Audio, ElevenLabs). Le lecteur audio intégré propose le contrôle de vitesse (0.75x à 2x) et la mémorisation du curseur d'écoute.</w:t>
        <w:br/>
        <w:t>• Studio de Slides : Synthèse automatique de supports de présentation projetables. L'utilisateur peut réorganiser, éditer les diapositives directement dans l'interface et exporter l'ensemble en véritable fichier PowerPoint (.pptx).</w:t>
      </w:r>
    </w:p>
    <w:p>
      <w:pPr>
        <w:pStyle w:val="Heading2"/>
        <w:spacing w:before="200" w:after="80"/>
      </w:pPr>
      <w:r>
        <w:t>3.7 Tableau de Bord &amp; Analytiques d'Apprentissage</w:t>
      </w:r>
    </w:p>
    <w:p>
      <w:pPr>
        <w:spacing w:line="276" w:lineRule="auto" w:after="120"/>
      </w:pPr>
      <w:r>
        <w:t>Le tableau de bord centralise les métriques clés de progression : temps d'étude cumulé, cours suivis, taux de réussite aux quiz et détection automatique des 'Concepts Faibles' (Weak Topics). Cette cartographie cognitive permet aux enseignants et administrateurs d'adapter leurs interventions et aux apprenants de cibler leurs révisions.</w:t>
      </w:r>
    </w:p>
    <w:p>
      <w:pPr>
        <w:pStyle w:val="Heading2"/>
        <w:spacing w:before="200" w:after="80"/>
      </w:pPr>
      <w:r>
        <w:t>3.8 Évaluation Automatique &amp; Observabilité Qualité IA (Sprint 06)</w:t>
      </w:r>
    </w:p>
    <w:p>
      <w:pPr>
        <w:spacing w:line="276" w:lineRule="auto" w:after="120"/>
      </w:pPr>
      <w:r>
        <w:t>Un cadre rigoureux d'évaluation automatique des 5 générateurs IA (Cours/Documents, Slides PPTX, Audio TTS, Quiz et Orchestration asynchrone) a été intégré à la plateforme. Ce système s'articule autour de trois dimensions étanches :</w:t>
        <w:br/>
        <w:t>• Contrôles Déterministes (100% requis) : Schémas JSON stricts, intégrité OpenXML PPTX, formats audio MP3/ID3 et exhaustivité des champs.</w:t>
        <w:br/>
        <w:t>• Évaluations Sémantiques : Taux de citation documentaire [1], non-redondance tri-grammes, plausibilité des distracteurs et calibration LLM-as-a-judge.</w:t>
        <w:br/>
        <w:t>• Métriques Perceptuelles : Détection des risques de débordement textuel sur slides et notation acoustique MOS.</w:t>
        <w:br/>
        <w:t>Un Golden Benchmark multilingue versionné (v1.0.0, 16 cas d'évaluation FR/EN/AR) et un comparateur de versions A/B préviennent toute régression.</w:t>
      </w:r>
    </w:p>
    <w:p>
      <w:pPr>
        <w:pStyle w:val="Heading2"/>
        <w:spacing w:before="200" w:after="80"/>
      </w:pPr>
      <w:r>
        <w:t>3.9 Sécurité, Quotas &amp; Maîtrise des Coûts IA (Sprint 07)</w:t>
      </w:r>
    </w:p>
    <w:p>
      <w:pPr>
        <w:spacing w:line="276" w:lineRule="auto" w:after="120"/>
      </w:pPr>
      <w:r>
        <w:t>Afin de garantir la rentabilité opérationnelle du SaaS et d'éliminer tout risque d'épuisement de ressources, un système de gouvernance des coûts et de quotas atomiques a été déployé :</w:t>
        <w:br/>
        <w:t>• Réservations Atomiques à Deux Phases : Déploiement du modèle QuotaReservation avec verrouillage exclusif PostgreSQL (select_for_update), empêchant tout dépassement lors de requêtes simultanées sur le dernier quota disponible.</w:t>
        <w:br/>
        <w:t>• Prévention du Double Comptage &amp; Idempotence : Les jetons idempotency_key protègent contre les retries réseau abusifs.</w:t>
        <w:br/>
        <w:t>• Quarantaine des Timeouts : En cas d'interruption réseau avec un fournisseur tiers, la requête est isolée sous le statut TIMEOUT_UNCERTAIN avec conservation du coût estimatif afin d'éviter toute surprise de facturation.</w:t>
        <w:br/>
        <w:t>• Throttling &amp; Protection Anti-Abus : Limitation de débit stricte (30 req/min et 10 req/10s) avec réponses normalisées HTTP 429.</w:t>
        <w:br/>
        <w:t>• Sécurité des Prompts : Détection proactive des tentatives de jailbreak, masquage des secrets et étanchéité du contexte source.</w:t>
      </w:r>
    </w:p>
    <w:p>
      <w:r>
        <w:br w:type="page"/>
      </w:r>
    </w:p>
    <w:p>
      <w:pPr>
        <w:pStyle w:val="Heading1"/>
        <w:spacing w:before="320" w:after="160"/>
      </w:pPr>
      <w:r>
        <w:t>4. Infrastructure, Déploiement &amp; DevOps</w:t>
      </w:r>
    </w:p>
    <w:p>
      <w:pPr>
        <w:spacing w:line="276" w:lineRule="auto" w:after="160"/>
      </w:pPr>
      <w:r>
        <w:t>L'architecture d'exploitation a été durcie (Phases 15 et 16) pour répondre aux standards d'une mise en production haute disponibilité sur serveur dédié ou VPS (ex: Ubuntu 22.04/24.04 LTS).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3168"/>
            <w:shd w:fill="F8FAFC"/>
            <w:tcMar>
              <w:top w:w="80" w:type="dxa"/>
              <w:bottom w:w="80" w:type="dxa"/>
              <w:left w:w="100" w:type="dxa"/>
              <w:right w:w="100" w:type="dxa"/>
            </w:tcMar>
          </w:tcPr>
          <w:p>
            <w:r>
              <w:rPr>
                <w:rFonts w:ascii="Arial" w:hAnsi="Arial"/>
                <w:b/>
                <w:color w:val="0F172A"/>
                <w:sz w:val="18"/>
              </w:rPr>
              <w:t>Déploiement Zero-Downtime</w:t>
            </w:r>
          </w:p>
        </w:tc>
        <w:tc>
          <w:tcPr>
            <w:tcW w:type="dxa" w:w="6192"/>
            <w:shd w:fill="FFFFFF"/>
            <w:tcMar>
              <w:top w:w="80" w:type="dxa"/>
              <w:bottom w:w="80" w:type="dxa"/>
              <w:left w:w="100" w:type="dxa"/>
              <w:right w:w="100" w:type="dxa"/>
            </w:tcMar>
          </w:tcPr>
          <w:p>
            <w:pPr>
              <w:spacing w:line="276" w:lineRule="auto"/>
            </w:pPr>
            <w:r>
              <w:rPr>
                <w:rFonts w:ascii="Arial" w:hAnsi="Arial"/>
                <w:color w:val="334155"/>
                <w:sz w:val="18"/>
              </w:rPr>
              <w:t>Script d'orchestration `infrastructure/scripts/deploy.sh` : sauvegarde pré-déploiement PostgreSQL automatique, build parallèle d'images, migrations isolées, mise à jour glissante des conteneurs et sondes de santé.</w:t>
            </w:r>
          </w:p>
        </w:tc>
      </w:tr>
      <w:tr>
        <w:tc>
          <w:tcPr>
            <w:tcW w:type="dxa" w:w="3168"/>
            <w:shd w:fill="F8FAFC"/>
            <w:tcMar>
              <w:top w:w="80" w:type="dxa"/>
              <w:bottom w:w="80" w:type="dxa"/>
              <w:left w:w="100" w:type="dxa"/>
              <w:right w:w="100" w:type="dxa"/>
            </w:tcMar>
          </w:tcPr>
          <w:p>
            <w:r>
              <w:rPr>
                <w:rFonts w:ascii="Arial" w:hAnsi="Arial"/>
                <w:b/>
                <w:color w:val="0F172A"/>
                <w:sz w:val="18"/>
              </w:rPr>
              <w:t>Rollback Automatique</w:t>
            </w:r>
          </w:p>
        </w:tc>
        <w:tc>
          <w:tcPr>
            <w:tcW w:type="dxa" w:w="6192"/>
            <w:shd w:fill="FFFFFF"/>
            <w:tcMar>
              <w:top w:w="80" w:type="dxa"/>
              <w:bottom w:w="80" w:type="dxa"/>
              <w:left w:w="100" w:type="dxa"/>
              <w:right w:w="100" w:type="dxa"/>
            </w:tcMar>
          </w:tcPr>
          <w:p>
            <w:pPr>
              <w:spacing w:line="276" w:lineRule="auto"/>
            </w:pPr>
            <w:r>
              <w:rPr>
                <w:rFonts w:ascii="Arial" w:hAnsi="Arial"/>
                <w:color w:val="334155"/>
                <w:sz w:val="18"/>
              </w:rPr>
              <w:t>En cas d'échec de la sonde de santé post-déploiement (/api/v1/system/health/), déclenchement immédiat de `rollback.sh` restaurant l'état fonctionnel précédent et la base de données.</w:t>
            </w:r>
          </w:p>
        </w:tc>
      </w:tr>
      <w:tr>
        <w:tc>
          <w:tcPr>
            <w:tcW w:type="dxa" w:w="3168"/>
            <w:shd w:fill="F8FAFC"/>
            <w:tcMar>
              <w:top w:w="80" w:type="dxa"/>
              <w:bottom w:w="80" w:type="dxa"/>
              <w:left w:w="100" w:type="dxa"/>
              <w:right w:w="100" w:type="dxa"/>
            </w:tcMar>
          </w:tcPr>
          <w:p>
            <w:r>
              <w:rPr>
                <w:rFonts w:ascii="Arial" w:hAnsi="Arial"/>
                <w:b/>
                <w:color w:val="0F172A"/>
                <w:sz w:val="18"/>
              </w:rPr>
              <w:t>Ségrégation des Files Celery</w:t>
            </w:r>
          </w:p>
        </w:tc>
        <w:tc>
          <w:tcPr>
            <w:tcW w:type="dxa" w:w="6192"/>
            <w:shd w:fill="FFFFFF"/>
            <w:tcMar>
              <w:top w:w="80" w:type="dxa"/>
              <w:bottom w:w="80" w:type="dxa"/>
              <w:left w:w="100" w:type="dxa"/>
              <w:right w:w="100" w:type="dxa"/>
            </w:tcMar>
          </w:tcPr>
          <w:p>
            <w:pPr>
              <w:spacing w:line="276" w:lineRule="auto"/>
            </w:pPr>
            <w:r>
              <w:rPr>
                <w:rFonts w:ascii="Arial" w:hAnsi="Arial"/>
                <w:color w:val="334155"/>
                <w:sz w:val="18"/>
              </w:rPr>
              <w:t>Scission des workers en 2 pools : file `default` (4 workers, 1GB RAM) pour les tâches transactionnelles rapides ; file `heavy` (2 workers, 2GB RAM) pour l'OCR, TTS et exports PPTX.</w:t>
            </w:r>
          </w:p>
        </w:tc>
      </w:tr>
      <w:tr>
        <w:tc>
          <w:tcPr>
            <w:tcW w:type="dxa" w:w="3168"/>
            <w:shd w:fill="F8FAFC"/>
            <w:tcMar>
              <w:top w:w="80" w:type="dxa"/>
              <w:bottom w:w="80" w:type="dxa"/>
              <w:left w:w="100" w:type="dxa"/>
              <w:right w:w="100" w:type="dxa"/>
            </w:tcMar>
          </w:tcPr>
          <w:p>
            <w:r>
              <w:rPr>
                <w:rFonts w:ascii="Arial" w:hAnsi="Arial"/>
                <w:b/>
                <w:color w:val="0F172A"/>
                <w:sz w:val="18"/>
              </w:rPr>
              <w:t>Sécurité SSL / Let's Encrypt</w:t>
            </w:r>
          </w:p>
        </w:tc>
        <w:tc>
          <w:tcPr>
            <w:tcW w:type="dxa" w:w="6192"/>
            <w:shd w:fill="FFFFFF"/>
            <w:tcMar>
              <w:top w:w="80" w:type="dxa"/>
              <w:bottom w:w="80" w:type="dxa"/>
              <w:left w:w="100" w:type="dxa"/>
              <w:right w:w="100" w:type="dxa"/>
            </w:tcMar>
          </w:tcPr>
          <w:p>
            <w:pPr>
              <w:spacing w:line="276" w:lineRule="auto"/>
            </w:pPr>
            <w:r>
              <w:rPr>
                <w:rFonts w:ascii="Arial" w:hAnsi="Arial"/>
                <w:color w:val="334155"/>
                <w:sz w:val="18"/>
              </w:rPr>
              <w:t>Automatisation via `init-letsencrypt.sh` et conteneur Certbot assurant le renouvellement automatique des certificats HTTPS toutes les 12 heures.</w:t>
            </w:r>
          </w:p>
        </w:tc>
      </w:tr>
      <w:tr>
        <w:tc>
          <w:tcPr>
            <w:tcW w:type="dxa" w:w="3168"/>
            <w:shd w:fill="F8FAFC"/>
            <w:tcMar>
              <w:top w:w="80" w:type="dxa"/>
              <w:bottom w:w="80" w:type="dxa"/>
              <w:left w:w="100" w:type="dxa"/>
              <w:right w:w="100" w:type="dxa"/>
            </w:tcMar>
          </w:tcPr>
          <w:p>
            <w:r>
              <w:rPr>
                <w:rFonts w:ascii="Arial" w:hAnsi="Arial"/>
                <w:b/>
                <w:color w:val="0F172A"/>
                <w:sz w:val="18"/>
              </w:rPr>
              <w:t>Monitoring &amp; Métriques</w:t>
            </w:r>
          </w:p>
        </w:tc>
        <w:tc>
          <w:tcPr>
            <w:tcW w:type="dxa" w:w="6192"/>
            <w:shd w:fill="FFFFFF"/>
            <w:tcMar>
              <w:top w:w="80" w:type="dxa"/>
              <w:bottom w:w="80" w:type="dxa"/>
              <w:left w:w="100" w:type="dxa"/>
              <w:right w:w="100" w:type="dxa"/>
            </w:tcMar>
          </w:tcPr>
          <w:p>
            <w:pPr>
              <w:spacing w:line="276" w:lineRule="auto"/>
            </w:pPr>
            <w:r>
              <w:rPr>
                <w:rFonts w:ascii="Arial" w:hAnsi="Arial"/>
                <w:color w:val="334155"/>
                <w:sz w:val="18"/>
              </w:rPr>
              <w:t>Stack complète Prometheus + Grafana (`infrastructure/monitoring/`) collectant les métriques d'usage système (CPU/RAM/Disque), la charge Redis, les files Celery et la latence Nginx.</w:t>
            </w:r>
          </w:p>
        </w:tc>
      </w:tr>
      <w:tr>
        <w:tc>
          <w:tcPr>
            <w:tcW w:type="dxa" w:w="4968"/>
          </w:tcPr>
          <w:p/>
        </w:tc>
        <w:tc>
          <w:tcPr>
            <w:tcW w:type="dxa" w:w="4968"/>
          </w:tcPr>
          <w:p/>
        </w:tc>
      </w:tr>
    </w:tbl>
    <w:p>
      <w:pPr>
        <w:pStyle w:val="Heading1"/>
        <w:spacing w:before="320" w:after="160"/>
      </w:pPr>
      <w:r>
        <w:t>5. Assurance Qualité, Tests &amp; Indicateurs de Conformité</w:t>
      </w:r>
    </w:p>
    <w:p>
      <w:pPr>
        <w:spacing w:line="276" w:lineRule="auto" w:after="160"/>
      </w:pPr>
      <w:r>
        <w:t>Chaque brique logicielle fait l'objet de barrières de qualité automatisées (Quality Gates) intégrées dans les pipelines d'intégration continue GitHub Actions.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c>
          <w:tcPr>
            <w:tcW w:type="dxa" w:w="3168"/>
            <w:shd w:fill="059669"/>
            <w:tcMar>
              <w:top w:w="100" w:type="dxa"/>
              <w:bottom w:w="100" w:type="dxa"/>
              <w:left w:w="100" w:type="dxa"/>
              <w:right w:w="100" w:type="dxa"/>
            </w:tcMar>
          </w:tcPr>
          <w:p>
            <w:r>
              <w:rPr>
                <w:rFonts w:ascii="Arial" w:hAnsi="Arial"/>
                <w:b/>
                <w:color w:val="FFFFFF"/>
                <w:sz w:val="19"/>
              </w:rPr>
              <w:t>Périmètre de Contrôle</w:t>
            </w:r>
          </w:p>
        </w:tc>
        <w:tc>
          <w:tcPr>
            <w:tcW w:type="dxa" w:w="2160"/>
            <w:shd w:fill="059669"/>
            <w:tcMar>
              <w:top w:w="100" w:type="dxa"/>
              <w:bottom w:w="100" w:type="dxa"/>
              <w:left w:w="100" w:type="dxa"/>
              <w:right w:w="100" w:type="dxa"/>
            </w:tcMar>
          </w:tcPr>
          <w:p>
            <w:r>
              <w:rPr>
                <w:rFonts w:ascii="Arial" w:hAnsi="Arial"/>
                <w:b/>
                <w:color w:val="FFFFFF"/>
                <w:sz w:val="19"/>
              </w:rPr>
              <w:t>Outil / Framework</w:t>
            </w:r>
          </w:p>
        </w:tc>
        <w:tc>
          <w:tcPr>
            <w:tcW w:type="dxa" w:w="4032"/>
            <w:shd w:fill="059669"/>
            <w:tcMar>
              <w:top w:w="100" w:type="dxa"/>
              <w:bottom w:w="100" w:type="dxa"/>
              <w:left w:w="100" w:type="dxa"/>
              <w:right w:w="100" w:type="dxa"/>
            </w:tcMar>
          </w:tcPr>
          <w:p>
            <w:r>
              <w:rPr>
                <w:rFonts w:ascii="Arial" w:hAnsi="Arial"/>
                <w:b/>
                <w:color w:val="FFFFFF"/>
                <w:sz w:val="19"/>
              </w:rPr>
              <w:t>Résultat &amp; Statut de Validation</w:t>
            </w:r>
          </w:p>
        </w:tc>
      </w:tr>
      <w:tr>
        <w:tc>
          <w:tcPr>
            <w:tcW w:type="dxa" w:w="3168"/>
            <w:shd w:fill="F8FAFC"/>
            <w:tcMar>
              <w:top w:w="80" w:type="dxa"/>
              <w:bottom w:w="80" w:type="dxa"/>
              <w:left w:w="100" w:type="dxa"/>
              <w:right w:w="100" w:type="dxa"/>
            </w:tcMar>
          </w:tcPr>
          <w:p>
            <w:pPr>
              <w:spacing w:line="276" w:lineRule="auto"/>
            </w:pPr>
            <w:r>
              <w:rPr>
                <w:rFonts w:ascii="Arial" w:hAnsi="Arial"/>
                <w:color w:val="0F172A"/>
                <w:sz w:val="17"/>
              </w:rPr>
              <w:t>Tests Backend Django API</w:t>
            </w:r>
          </w:p>
        </w:tc>
        <w:tc>
          <w:tcPr>
            <w:tcW w:type="dxa" w:w="2160"/>
            <w:shd w:fill="F8FAFC"/>
            <w:tcMar>
              <w:top w:w="80" w:type="dxa"/>
              <w:bottom w:w="80" w:type="dxa"/>
              <w:left w:w="100" w:type="dxa"/>
              <w:right w:w="100" w:type="dxa"/>
            </w:tcMar>
          </w:tcPr>
          <w:p>
            <w:pPr>
              <w:spacing w:line="276" w:lineRule="auto"/>
            </w:pPr>
            <w:r>
              <w:rPr>
                <w:rFonts w:ascii="Arial" w:hAnsi="Arial"/>
                <w:color w:val="0F172A"/>
                <w:sz w:val="17"/>
              </w:rPr>
              <w:t>Pytest / Pytest-Django</w:t>
            </w:r>
          </w:p>
        </w:tc>
        <w:tc>
          <w:tcPr>
            <w:tcW w:type="dxa" w:w="4032"/>
            <w:shd w:fill="F8FAFC"/>
            <w:tcMar>
              <w:top w:w="80" w:type="dxa"/>
              <w:bottom w:w="80" w:type="dxa"/>
              <w:left w:w="100" w:type="dxa"/>
              <w:right w:w="100" w:type="dxa"/>
            </w:tcMar>
          </w:tcPr>
          <w:p>
            <w:pPr>
              <w:spacing w:line="276" w:lineRule="auto"/>
            </w:pPr>
            <w:r>
              <w:rPr>
                <w:rFonts w:ascii="Arial" w:hAnsi="Arial"/>
                <w:b/>
                <w:color w:val="059669"/>
                <w:sz w:val="17"/>
              </w:rPr>
              <w:t>349 tests passés avec succès (0 échec, 0 erreur)</w:t>
            </w:r>
          </w:p>
        </w:tc>
      </w:tr>
      <w:tr>
        <w:tc>
          <w:tcPr>
            <w:tcW w:type="dxa" w:w="3168"/>
            <w:shd w:fill="FFFFFF"/>
            <w:tcMar>
              <w:top w:w="80" w:type="dxa"/>
              <w:bottom w:w="80" w:type="dxa"/>
              <w:left w:w="100" w:type="dxa"/>
              <w:right w:w="100" w:type="dxa"/>
            </w:tcMar>
          </w:tcPr>
          <w:p>
            <w:pPr>
              <w:spacing w:line="276" w:lineRule="auto"/>
            </w:pPr>
            <w:r>
              <w:rPr>
                <w:rFonts w:ascii="Arial" w:hAnsi="Arial"/>
                <w:color w:val="0F172A"/>
                <w:sz w:val="17"/>
              </w:rPr>
              <w:t>Tests Frontend React / Next.js</w:t>
            </w:r>
          </w:p>
        </w:tc>
        <w:tc>
          <w:tcPr>
            <w:tcW w:type="dxa" w:w="2160"/>
            <w:shd w:fill="FFFFFF"/>
            <w:tcMar>
              <w:top w:w="80" w:type="dxa"/>
              <w:bottom w:w="80" w:type="dxa"/>
              <w:left w:w="100" w:type="dxa"/>
              <w:right w:w="100" w:type="dxa"/>
            </w:tcMar>
          </w:tcPr>
          <w:p>
            <w:pPr>
              <w:spacing w:line="276" w:lineRule="auto"/>
            </w:pPr>
            <w:r>
              <w:rPr>
                <w:rFonts w:ascii="Arial" w:hAnsi="Arial"/>
                <w:color w:val="0F172A"/>
                <w:sz w:val="17"/>
              </w:rPr>
              <w:t>Vitest / Testing Library</w:t>
            </w:r>
          </w:p>
        </w:tc>
        <w:tc>
          <w:tcPr>
            <w:tcW w:type="dxa" w:w="4032"/>
            <w:shd w:fill="FFFFFF"/>
            <w:tcMar>
              <w:top w:w="80" w:type="dxa"/>
              <w:bottom w:w="80" w:type="dxa"/>
              <w:left w:w="100" w:type="dxa"/>
              <w:right w:w="100" w:type="dxa"/>
            </w:tcMar>
          </w:tcPr>
          <w:p>
            <w:pPr>
              <w:spacing w:line="276" w:lineRule="auto"/>
            </w:pPr>
            <w:r>
              <w:rPr>
                <w:rFonts w:ascii="Arial" w:hAnsi="Arial"/>
                <w:b/>
                <w:color w:val="059669"/>
                <w:sz w:val="17"/>
              </w:rPr>
              <w:t>32 tests passés avec succès (8 suites de test validées)</w:t>
            </w:r>
          </w:p>
        </w:tc>
      </w:tr>
      <w:tr>
        <w:tc>
          <w:tcPr>
            <w:tcW w:type="dxa" w:w="3168"/>
            <w:shd w:fill="F8FAFC"/>
            <w:tcMar>
              <w:top w:w="80" w:type="dxa"/>
              <w:bottom w:w="80" w:type="dxa"/>
              <w:left w:w="100" w:type="dxa"/>
              <w:right w:w="100" w:type="dxa"/>
            </w:tcMar>
          </w:tcPr>
          <w:p>
            <w:pPr>
              <w:spacing w:line="276" w:lineRule="auto"/>
            </w:pPr>
            <w:r>
              <w:rPr>
                <w:rFonts w:ascii="Arial" w:hAnsi="Arial"/>
                <w:color w:val="0F172A"/>
                <w:sz w:val="17"/>
              </w:rPr>
              <w:t>RAG Avancé &amp; Recherche Hybride (Sprint 09)</w:t>
            </w:r>
          </w:p>
        </w:tc>
        <w:tc>
          <w:tcPr>
            <w:tcW w:type="dxa" w:w="2160"/>
            <w:shd w:fill="F8FAFC"/>
            <w:tcMar>
              <w:top w:w="80" w:type="dxa"/>
              <w:bottom w:w="80" w:type="dxa"/>
              <w:left w:w="100" w:type="dxa"/>
              <w:right w:w="100" w:type="dxa"/>
            </w:tcMar>
          </w:tcPr>
          <w:p>
            <w:pPr>
              <w:spacing w:line="276" w:lineRule="auto"/>
            </w:pPr>
            <w:r>
              <w:rPr>
                <w:rFonts w:ascii="Arial" w:hAnsi="Arial"/>
                <w:color w:val="0F172A"/>
                <w:sz w:val="17"/>
              </w:rPr>
              <w:t>RRF / pgvector / Lexical</w:t>
            </w:r>
          </w:p>
        </w:tc>
        <w:tc>
          <w:tcPr>
            <w:tcW w:type="dxa" w:w="4032"/>
            <w:shd w:fill="F8FAFC"/>
            <w:tcMar>
              <w:top w:w="80" w:type="dxa"/>
              <w:bottom w:w="80" w:type="dxa"/>
              <w:left w:w="100" w:type="dxa"/>
              <w:right w:w="100" w:type="dxa"/>
            </w:tcMar>
          </w:tcPr>
          <w:p>
            <w:pPr>
              <w:spacing w:line="276" w:lineRule="auto"/>
            </w:pPr>
            <w:r>
              <w:rPr>
                <w:rFonts w:ascii="Arial" w:hAnsi="Arial"/>
                <w:b/>
                <w:color w:val="059669"/>
                <w:sz w:val="17"/>
              </w:rPr>
              <w:t>13 tests validés (Fusion RRF k=60, acronymes, anti-hallucination, cache isolé, fallback gracieux)</w:t>
            </w:r>
          </w:p>
        </w:tc>
      </w:tr>
      <w:tr>
        <w:tc>
          <w:tcPr>
            <w:tcW w:type="dxa" w:w="3168"/>
            <w:shd w:fill="FFFFFF"/>
            <w:tcMar>
              <w:top w:w="80" w:type="dxa"/>
              <w:bottom w:w="80" w:type="dxa"/>
              <w:left w:w="100" w:type="dxa"/>
              <w:right w:w="100" w:type="dxa"/>
            </w:tcMar>
          </w:tcPr>
          <w:p>
            <w:pPr>
              <w:spacing w:line="276" w:lineRule="auto"/>
            </w:pPr>
            <w:r>
              <w:rPr>
                <w:rFonts w:ascii="Arial" w:hAnsi="Arial"/>
                <w:color w:val="0F172A"/>
                <w:sz w:val="17"/>
              </w:rPr>
              <w:t>Ingestion &amp; Robustesse Documentaire (Sprint 08)</w:t>
            </w:r>
          </w:p>
        </w:tc>
        <w:tc>
          <w:tcPr>
            <w:tcW w:type="dxa" w:w="2160"/>
            <w:shd w:fill="FFFFFF"/>
            <w:tcMar>
              <w:top w:w="80" w:type="dxa"/>
              <w:bottom w:w="80" w:type="dxa"/>
              <w:left w:w="100" w:type="dxa"/>
              <w:right w:w="100" w:type="dxa"/>
            </w:tcMar>
          </w:tcPr>
          <w:p>
            <w:pPr>
              <w:spacing w:line="276" w:lineRule="auto"/>
            </w:pPr>
            <w:r>
              <w:rPr>
                <w:rFonts w:ascii="Arial" w:hAnsi="Arial"/>
                <w:color w:val="0F172A"/>
                <w:sz w:val="17"/>
              </w:rPr>
              <w:t>Pytest / Validation Binaire</w:t>
            </w:r>
          </w:p>
        </w:tc>
        <w:tc>
          <w:tcPr>
            <w:tcW w:type="dxa" w:w="4032"/>
            <w:shd w:fill="FFFFFF"/>
            <w:tcMar>
              <w:top w:w="80" w:type="dxa"/>
              <w:bottom w:w="80" w:type="dxa"/>
              <w:left w:w="100" w:type="dxa"/>
              <w:right w:w="100" w:type="dxa"/>
            </w:tcMar>
          </w:tcPr>
          <w:p>
            <w:pPr>
              <w:spacing w:line="276" w:lineRule="auto"/>
            </w:pPr>
            <w:r>
              <w:rPr>
                <w:rFonts w:ascii="Arial" w:hAnsi="Arial"/>
                <w:b/>
                <w:color w:val="059669"/>
                <w:sz w:val="17"/>
              </w:rPr>
              <w:t>10 tests validés (Contrôle qualité, anti-corruption, détection PDF/DOCX/PPTX, zip bombs)</w:t>
            </w:r>
          </w:p>
        </w:tc>
      </w:tr>
      <w:tr>
        <w:tc>
          <w:tcPr>
            <w:tcW w:type="dxa" w:w="3168"/>
            <w:shd w:fill="F8FAFC"/>
            <w:tcMar>
              <w:top w:w="80" w:type="dxa"/>
              <w:bottom w:w="80" w:type="dxa"/>
              <w:left w:w="100" w:type="dxa"/>
              <w:right w:w="100" w:type="dxa"/>
            </w:tcMar>
          </w:tcPr>
          <w:p>
            <w:pPr>
              <w:spacing w:line="276" w:lineRule="auto"/>
            </w:pPr>
            <w:r>
              <w:rPr>
                <w:rFonts w:ascii="Arial" w:hAnsi="Arial"/>
                <w:color w:val="0F172A"/>
                <w:sz w:val="17"/>
              </w:rPr>
              <w:t>Sécurité &amp; Quotas IA (Sprint 07)</w:t>
            </w:r>
          </w:p>
        </w:tc>
        <w:tc>
          <w:tcPr>
            <w:tcW w:type="dxa" w:w="2160"/>
            <w:shd w:fill="F8FAFC"/>
            <w:tcMar>
              <w:top w:w="80" w:type="dxa"/>
              <w:bottom w:w="80" w:type="dxa"/>
              <w:left w:w="100" w:type="dxa"/>
              <w:right w:w="100" w:type="dxa"/>
            </w:tcMar>
          </w:tcPr>
          <w:p>
            <w:pPr>
              <w:spacing w:line="276" w:lineRule="auto"/>
            </w:pPr>
            <w:r>
              <w:rPr>
                <w:rFonts w:ascii="Arial" w:hAnsi="Arial"/>
                <w:color w:val="0F172A"/>
                <w:sz w:val="17"/>
              </w:rPr>
              <w:t>Pytest / Atomic Locks</w:t>
            </w:r>
          </w:p>
        </w:tc>
        <w:tc>
          <w:tcPr>
            <w:tcW w:type="dxa" w:w="4032"/>
            <w:shd w:fill="F8FAFC"/>
            <w:tcMar>
              <w:top w:w="80" w:type="dxa"/>
              <w:bottom w:w="80" w:type="dxa"/>
              <w:left w:w="100" w:type="dxa"/>
              <w:right w:w="100" w:type="dxa"/>
            </w:tcMar>
          </w:tcPr>
          <w:p>
            <w:pPr>
              <w:spacing w:line="276" w:lineRule="auto"/>
            </w:pPr>
            <w:r>
              <w:rPr>
                <w:rFonts w:ascii="Arial" w:hAnsi="Arial"/>
                <w:b/>
                <w:color w:val="059669"/>
                <w:sz w:val="17"/>
              </w:rPr>
              <w:t>16 tests validés (Réservations 2-phases, isolation, 429 throttling, anti-injection)</w:t>
            </w:r>
          </w:p>
        </w:tc>
      </w:tr>
      <w:tr>
        <w:tc>
          <w:tcPr>
            <w:tcW w:type="dxa" w:w="3168"/>
            <w:shd w:fill="FFFFFF"/>
            <w:tcMar>
              <w:top w:w="80" w:type="dxa"/>
              <w:bottom w:w="80" w:type="dxa"/>
              <w:left w:w="100" w:type="dxa"/>
              <w:right w:w="100" w:type="dxa"/>
            </w:tcMar>
          </w:tcPr>
          <w:p>
            <w:pPr>
              <w:spacing w:line="276" w:lineRule="auto"/>
            </w:pPr>
            <w:r>
              <w:rPr>
                <w:rFonts w:ascii="Arial" w:hAnsi="Arial"/>
                <w:color w:val="0F172A"/>
                <w:sz w:val="17"/>
              </w:rPr>
              <w:t>Évaluation Qualité IA (Sprint 06)</w:t>
            </w:r>
          </w:p>
        </w:tc>
        <w:tc>
          <w:tcPr>
            <w:tcW w:type="dxa" w:w="2160"/>
            <w:shd w:fill="FFFFFF"/>
            <w:tcMar>
              <w:top w:w="80" w:type="dxa"/>
              <w:bottom w:w="80" w:type="dxa"/>
              <w:left w:w="100" w:type="dxa"/>
              <w:right w:w="100" w:type="dxa"/>
            </w:tcMar>
          </w:tcPr>
          <w:p>
            <w:pPr>
              <w:spacing w:line="276" w:lineRule="auto"/>
            </w:pPr>
            <w:r>
              <w:rPr>
                <w:rFonts w:ascii="Arial" w:hAnsi="Arial"/>
                <w:color w:val="0F172A"/>
                <w:sz w:val="17"/>
              </w:rPr>
              <w:t>Amanus Eval Suite / Pytest</w:t>
            </w:r>
          </w:p>
        </w:tc>
        <w:tc>
          <w:tcPr>
            <w:tcW w:type="dxa" w:w="4032"/>
            <w:shd w:fill="FFFFFF"/>
            <w:tcMar>
              <w:top w:w="80" w:type="dxa"/>
              <w:bottom w:w="80" w:type="dxa"/>
              <w:left w:w="100" w:type="dxa"/>
              <w:right w:w="100" w:type="dxa"/>
            </w:tcMar>
          </w:tcPr>
          <w:p>
            <w:pPr>
              <w:spacing w:line="276" w:lineRule="auto"/>
            </w:pPr>
            <w:r>
              <w:rPr>
                <w:rFonts w:ascii="Arial" w:hAnsi="Arial"/>
                <w:b/>
                <w:color w:val="059669"/>
                <w:sz w:val="17"/>
              </w:rPr>
              <w:t>12 suites validées (Golden Benchmark, Déterministe, Sémantique, A/B)</w:t>
            </w:r>
          </w:p>
        </w:tc>
      </w:tr>
      <w:tr>
        <w:tc>
          <w:tcPr>
            <w:tcW w:type="dxa" w:w="3168"/>
            <w:shd w:fill="F8FAFC"/>
            <w:tcMar>
              <w:top w:w="80" w:type="dxa"/>
              <w:bottom w:w="80" w:type="dxa"/>
              <w:left w:w="100" w:type="dxa"/>
              <w:right w:w="100" w:type="dxa"/>
            </w:tcMar>
          </w:tcPr>
          <w:p>
            <w:pPr>
              <w:spacing w:line="276" w:lineRule="auto"/>
            </w:pPr>
            <w:r>
              <w:rPr>
                <w:rFonts w:ascii="Arial" w:hAnsi="Arial"/>
                <w:color w:val="0F172A"/>
                <w:sz w:val="17"/>
              </w:rPr>
              <w:t>Vérification Typage Statique</w:t>
            </w:r>
          </w:p>
        </w:tc>
        <w:tc>
          <w:tcPr>
            <w:tcW w:type="dxa" w:w="2160"/>
            <w:shd w:fill="F8FAFC"/>
            <w:tcMar>
              <w:top w:w="80" w:type="dxa"/>
              <w:bottom w:w="80" w:type="dxa"/>
              <w:left w:w="100" w:type="dxa"/>
              <w:right w:w="100" w:type="dxa"/>
            </w:tcMar>
          </w:tcPr>
          <w:p>
            <w:pPr>
              <w:spacing w:line="276" w:lineRule="auto"/>
            </w:pPr>
            <w:r>
              <w:rPr>
                <w:rFonts w:ascii="Arial" w:hAnsi="Arial"/>
                <w:color w:val="0F172A"/>
                <w:sz w:val="17"/>
              </w:rPr>
              <w:t>TypeScript (`tsc --noEmit`)</w:t>
            </w:r>
          </w:p>
        </w:tc>
        <w:tc>
          <w:tcPr>
            <w:tcW w:type="dxa" w:w="4032"/>
            <w:shd w:fill="F8FAFC"/>
            <w:tcMar>
              <w:top w:w="80" w:type="dxa"/>
              <w:bottom w:w="80" w:type="dxa"/>
              <w:left w:w="100" w:type="dxa"/>
              <w:right w:w="100" w:type="dxa"/>
            </w:tcMar>
          </w:tcPr>
          <w:p>
            <w:pPr>
              <w:spacing w:line="276" w:lineRule="auto"/>
            </w:pPr>
            <w:r>
              <w:rPr>
                <w:rFonts w:ascii="Arial" w:hAnsi="Arial"/>
                <w:b/>
                <w:color w:val="059669"/>
                <w:sz w:val="17"/>
              </w:rPr>
              <w:t>0 erreur de typage sur l'ensemble de la codebase web</w:t>
            </w:r>
          </w:p>
        </w:tc>
      </w:tr>
      <w:tr>
        <w:tc>
          <w:tcPr>
            <w:tcW w:type="dxa" w:w="3168"/>
            <w:shd w:fill="FFFFFF"/>
            <w:tcMar>
              <w:top w:w="80" w:type="dxa"/>
              <w:bottom w:w="80" w:type="dxa"/>
              <w:left w:w="100" w:type="dxa"/>
              <w:right w:w="100" w:type="dxa"/>
            </w:tcMar>
          </w:tcPr>
          <w:p>
            <w:pPr>
              <w:spacing w:line="276" w:lineRule="auto"/>
            </w:pPr>
            <w:r>
              <w:rPr>
                <w:rFonts w:ascii="Arial" w:hAnsi="Arial"/>
                <w:color w:val="0F172A"/>
                <w:sz w:val="17"/>
              </w:rPr>
              <w:t>Linting &amp; Qualité Code</w:t>
            </w:r>
          </w:p>
        </w:tc>
        <w:tc>
          <w:tcPr>
            <w:tcW w:type="dxa" w:w="2160"/>
            <w:shd w:fill="FFFFFF"/>
            <w:tcMar>
              <w:top w:w="80" w:type="dxa"/>
              <w:bottom w:w="80" w:type="dxa"/>
              <w:left w:w="100" w:type="dxa"/>
              <w:right w:w="100" w:type="dxa"/>
            </w:tcMar>
          </w:tcPr>
          <w:p>
            <w:pPr>
              <w:spacing w:line="276" w:lineRule="auto"/>
            </w:pPr>
            <w:r>
              <w:rPr>
                <w:rFonts w:ascii="Arial" w:hAnsi="Arial"/>
                <w:color w:val="0F172A"/>
                <w:sz w:val="17"/>
              </w:rPr>
              <w:t>ESLint / Ruff</w:t>
            </w:r>
          </w:p>
        </w:tc>
        <w:tc>
          <w:tcPr>
            <w:tcW w:type="dxa" w:w="4032"/>
            <w:shd w:fill="FFFFFF"/>
            <w:tcMar>
              <w:top w:w="80" w:type="dxa"/>
              <w:bottom w:w="80" w:type="dxa"/>
              <w:left w:w="100" w:type="dxa"/>
              <w:right w:w="100" w:type="dxa"/>
            </w:tcMar>
          </w:tcPr>
          <w:p>
            <w:pPr>
              <w:spacing w:line="276" w:lineRule="auto"/>
            </w:pPr>
            <w:r>
              <w:rPr>
                <w:rFonts w:ascii="Arial" w:hAnsi="Arial"/>
                <w:b/>
                <w:color w:val="059669"/>
                <w:sz w:val="17"/>
              </w:rPr>
              <w:t>0 avertissement, 0 erreur, code propre et formatté</w:t>
            </w:r>
          </w:p>
        </w:tc>
      </w:tr>
      <w:tr>
        <w:tc>
          <w:tcPr>
            <w:tcW w:type="dxa" w:w="3168"/>
            <w:shd w:fill="F8FAFC"/>
            <w:tcMar>
              <w:top w:w="80" w:type="dxa"/>
              <w:bottom w:w="80" w:type="dxa"/>
              <w:left w:w="100" w:type="dxa"/>
              <w:right w:w="100" w:type="dxa"/>
            </w:tcMar>
          </w:tcPr>
          <w:p>
            <w:pPr>
              <w:spacing w:line="276" w:lineRule="auto"/>
            </w:pPr>
            <w:r>
              <w:rPr>
                <w:rFonts w:ascii="Arial" w:hAnsi="Arial"/>
                <w:color w:val="0F172A"/>
                <w:sz w:val="17"/>
              </w:rPr>
              <w:t>Migrations Base de Données</w:t>
            </w:r>
          </w:p>
        </w:tc>
        <w:tc>
          <w:tcPr>
            <w:tcW w:type="dxa" w:w="2160"/>
            <w:shd w:fill="F8FAFC"/>
            <w:tcMar>
              <w:top w:w="80" w:type="dxa"/>
              <w:bottom w:w="80" w:type="dxa"/>
              <w:left w:w="100" w:type="dxa"/>
              <w:right w:w="100" w:type="dxa"/>
            </w:tcMar>
          </w:tcPr>
          <w:p>
            <w:pPr>
              <w:spacing w:line="276" w:lineRule="auto"/>
            </w:pPr>
            <w:r>
              <w:rPr>
                <w:rFonts w:ascii="Arial" w:hAnsi="Arial"/>
                <w:color w:val="0F172A"/>
                <w:sz w:val="17"/>
              </w:rPr>
              <w:t>Django Migrations Check</w:t>
            </w:r>
          </w:p>
        </w:tc>
        <w:tc>
          <w:tcPr>
            <w:tcW w:type="dxa" w:w="4032"/>
            <w:shd w:fill="F8FAFC"/>
            <w:tcMar>
              <w:top w:w="80" w:type="dxa"/>
              <w:bottom w:w="80" w:type="dxa"/>
              <w:left w:w="100" w:type="dxa"/>
              <w:right w:w="100" w:type="dxa"/>
            </w:tcMar>
          </w:tcPr>
          <w:p>
            <w:pPr>
              <w:spacing w:line="276" w:lineRule="auto"/>
            </w:pPr>
            <w:r>
              <w:rPr>
                <w:rFonts w:ascii="Arial" w:hAnsi="Arial"/>
                <w:b/>
                <w:color w:val="059669"/>
                <w:sz w:val="17"/>
              </w:rPr>
              <w:t>0 migration en attente, modèles synchronisés</w:t>
            </w:r>
          </w:p>
        </w:tc>
      </w:tr>
    </w:tbl>
    <w:p>
      <w:r>
        <w:br w:type="page"/>
      </w:r>
    </w:p>
    <w:p>
      <w:pPr>
        <w:pStyle w:val="Heading1"/>
        <w:spacing w:before="320" w:after="160"/>
      </w:pPr>
      <w:r>
        <w:t>6. Bilan Global &amp; Perspectives d'Évolution</w:t>
      </w:r>
    </w:p>
    <w:p>
      <w:pPr>
        <w:spacing w:line="276" w:lineRule="auto" w:after="160"/>
      </w:pPr>
      <w:r>
        <w:t>Au terme des développements des phases 00 à 16, la plateforme Amanus Learn AI dispose d'un niveau de maturité technologique, fonctionnel et opérationnel exceptionnel. La robustesse de son architecture conteneurisée, la richesse de ses modules d'ingestion et de restitution pédagogique ainsi que son ergonomie multilingue positionnent la solution comme une référence EdTech sur le marché des environnements d'apprentissage assistés par IA.</w:t>
      </w:r>
    </w:p>
    <w:tbl>
      <w:tblPr>
        <w:tblW w:type="auto" w:w="0"/>
        <w:jc w:val="center"/>
        <w:tblLayout w:type="fixed"/>
        <w:tblLook w:firstColumn="1" w:firstRow="1" w:lastColumn="0" w:lastRow="0" w:noHBand="0" w:noVBand="1" w:val="04A0"/>
      </w:tblPr>
      <w:tblGrid>
        <w:gridCol w:w="9936"/>
      </w:tblGrid>
      <w:tr>
        <w:tc>
          <w:tcPr>
            <w:tcW w:type="dxa" w:w="9360"/>
            <w:shd w:fill="F0F4F8"/>
            <w:tcMar>
              <w:top w:w="140" w:type="dxa"/>
              <w:bottom w:w="140" w:type="dxa"/>
              <w:left w:w="200" w:type="dxa"/>
              <w:right w:w="180" w:type="dxa"/>
            </w:tcMar>
            <w:tcBorders>
              <w:left w:val="single" w:sz="24" w:space="0" w:color="1E3A8A"/>
              <w:top w:val="none"/>
              <w:right w:val="none"/>
              <w:bottom w:val="none"/>
            </w:tcBorders>
          </w:tcPr>
          <w:p>
            <w:pPr>
              <w:spacing w:before="40" w:after="40" w:line="276" w:lineRule="auto"/>
            </w:pPr>
            <w:r>
              <w:rPr>
                <w:rFonts w:ascii="Arial" w:hAnsi="Arial"/>
                <w:b/>
                <w:color w:val="1E3A8A"/>
                <w:sz w:val="21"/>
              </w:rPr>
              <w:t>FEUILLE DE ROUTE STRATÉGIQUE (PROCHAINES ÉTAPES)</w:t>
              <w:br/>
            </w:r>
            <w:r>
              <w:rPr>
                <w:rFonts w:ascii="Arial" w:hAnsi="Arial"/>
                <w:color w:val="334155"/>
                <w:sz w:val="20"/>
              </w:rPr>
              <w:t>1. Interopérabilité LTI 1.3 : Connexion native avec les Learning Management Systems universitaires et professionnels (Moodle, Canvas, Blackboard).</w:t>
              <w:br/>
              <w:t>2. Voice-to-Voice Streaming : Tuteur vocal interactif bidirectionnel en temps réel pour l'apprentissage des langues et l'entraînement oral.</w:t>
              <w:br/>
              <w:t>3. Fine-Tuning &amp; SLM Privés : Déploiement de petits modèles spécialisés (Small Language Models type Mistral/Llama) hébergés sur infrastructure souveraine dédiée sans fuite de données.</w:t>
            </w:r>
          </w:p>
        </w:tc>
      </w:tr>
    </w:tbl>
    <w:p>
      <w:pPr>
        <w:spacing w:before="80" w:after="12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6"/>
      </w:rPr>
      <w:t>Document Confidentiel — Amanus Learn AI Platform Architecture • Sprints 00-16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6"/>
      </w:rPr>
      <w:t>AMANUS LEARN AI — RAPPORT DE SYNTHÈSE TECHNIQUE &amp; FONCTIONNEL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