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4572000" cy="3048000"/>
            <wp:effectExtent l="0" t="0" r="0" b="0"/>
            <wp:docPr id="1" name="cover_image.png" descr="cover_image.png" title="cover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ver_image.png" descr="cover_image.png" title="cover_image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bCs/>
          <w:color w:val="1E40AF"/>
          <w:sz w:val="36"/>
          <w:szCs w:val="36"/>
        </w:rPr>
        <w:t>Logic Tree Lending — Credit Strategy</w:t>
      </w:r>
    </w:p>
    <w:p>
      <w:pPr>
        <w:pStyle w:val="Normal"/>
        <w:spacing w:before="0" w:after="360"/>
        <w:jc w:val="center"/>
        <w:rPr/>
      </w:pPr>
      <w:r>
        <w:rPr>
          <w:i/>
          <w:iCs/>
          <w:color w:val="475569"/>
          <w:sz w:val="22"/>
          <w:szCs w:val="22"/>
        </w:rPr>
        <w:t>Phân khúc khách hàng, logic xét duyệt và quy trình cho vay end-to-end</w:t>
      </w:r>
    </w:p>
    <w:p>
      <w:pPr>
        <w:pStyle w:val="Heading1"/>
        <w:rPr/>
      </w:pPr>
      <w:r>
        <w:rPr/>
        <w:t>1. Tổng quan</w:t>
      </w:r>
    </w:p>
    <w:p>
      <w:pPr>
        <w:pStyle w:val="Normal"/>
        <w:spacing w:before="0" w:after="120"/>
        <w:rPr/>
      </w:pPr>
      <w:r>
        <w:rPr/>
        <w:t>Tài liệu này tổng hợp khung phân tích thống nhất cho hoạt động cho vay — từ phân khúc khách hàng, ma trận sản phẩm, logic xét duyệt 7 bước, đến timeline xử lý hồ sơ end-to-end.</w:t>
      </w:r>
    </w:p>
    <w:p>
      <w:pPr>
        <w:pStyle w:val="Normal"/>
        <w:spacing w:before="0" w:after="120"/>
        <w:rPr/>
      </w:pPr>
      <w:r>
        <w:rPr/>
        <w:t>Phạm vi áp dụng cho cả phân khúc Cá nhân (Individual) và Doanh nghiệp (Corporate), với 18 sản phẩm cho vay đang vận hành.</w:t>
      </w:r>
    </w:p>
    <w:p>
      <w:pPr>
        <w:pStyle w:val="Heading2"/>
        <w:rPr/>
      </w:pPr>
      <w:r>
        <w:rPr/>
        <w:t>Key metrics</w:t>
      </w:r>
    </w:p>
    <w:p>
      <w:pPr>
        <w:pStyle w:val="ListParagraph"/>
        <w:numPr>
          <w:ilvl w:val="0"/>
          <w:numId w:val="5"/>
        </w:numPr>
        <w:rPr/>
      </w:pPr>
      <w:r>
        <w:rPr/>
        <w:t>18 sản phẩm — tổng số loan products đang active</w:t>
      </w:r>
    </w:p>
    <w:p>
      <w:pPr>
        <w:pStyle w:val="ListParagraph"/>
        <w:numPr>
          <w:ilvl w:val="0"/>
          <w:numId w:val="1"/>
        </w:numPr>
        <w:rPr/>
      </w:pPr>
      <w:r>
        <w:rPr/>
        <w:t>6 phân khúc — sub-segments active</w:t>
      </w:r>
    </w:p>
    <w:p>
      <w:pPr>
        <w:pStyle w:val="ListParagraph"/>
        <w:numPr>
          <w:ilvl w:val="0"/>
          <w:numId w:val="1"/>
        </w:numPr>
        <w:rPr/>
      </w:pPr>
      <w:r>
        <w:rPr/>
        <w:t>Biên lãi suất: 7.2% → 19.0%</w:t>
      </w:r>
    </w:p>
    <w:p>
      <w:pPr>
        <w:pStyle w:val="ListParagraph"/>
        <w:numPr>
          <w:ilvl w:val="0"/>
          <w:numId w:val="1"/>
        </w:numPr>
        <w:rPr/>
      </w:pPr>
      <w:r>
        <w:rPr/>
        <w:t>SLA trung bình: 14 ngày (D+0 → D+14)</w:t>
      </w:r>
    </w:p>
    <w:p>
      <w:pPr>
        <w:pStyle w:val="Heading1"/>
        <w:rPr/>
      </w:pPr>
      <w:r>
        <w:rPr/>
        <w:t>2. Phân khúc khách hàng (Segment Tree)</w:t>
      </w:r>
    </w:p>
    <w:p>
      <w:pPr>
        <w:pStyle w:val="Normal"/>
        <w:spacing w:before="0" w:after="120"/>
        <w:rPr/>
      </w:pPr>
      <w:r>
        <w:rPr/>
        <w:t>Cấu trúc cây 3 cấp: Customer Type → Sub-Segment → Loan Products. Sơ đồ SmartArt dưới đây thể hiện hierarchy đầy đủ.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3657600"/>
            <wp:effectExtent l="0" t="0" r="0" b="0"/>
            <wp:docPr id="2" name="Diagram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" r:lo="rId4" r:qs="rId5" r:cs="rId6"/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color w:val="475569"/>
          <w:sz w:val="20"/>
          <w:szCs w:val="20"/>
        </w:rPr>
        <w:t>Hình 1. SmartArt Hierarchy — Cây phân khúc khách hàng vay</w:t>
      </w:r>
    </w:p>
    <w:p>
      <w:pPr>
        <w:pStyle w:val="Heading1"/>
        <w:rPr/>
      </w:pPr>
      <w:r>
        <w:rPr/>
        <w:t>3. Ma trận sản phẩm (Product Matrix)</w:t>
      </w:r>
    </w:p>
    <w:p>
      <w:pPr>
        <w:pStyle w:val="Normal"/>
        <w:spacing w:before="0" w:after="120"/>
        <w:rPr/>
      </w:pPr>
      <w:r>
        <w:rPr/>
        <w:t>Bảng dưới liệt kê 10 sản phẩm tiêu biểu với hạn mức, lãi suất và tỷ trọng portfolio (đầy đủ 18 sản phẩm có sẵn trong hệ thống core).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879"/>
        <w:gridCol w:w="1080"/>
        <w:gridCol w:w="1281"/>
        <w:gridCol w:w="1700"/>
        <w:gridCol w:w="980"/>
        <w:gridCol w:w="1140"/>
        <w:gridCol w:w="899"/>
        <w:gridCol w:w="1400"/>
      </w:tblGrid>
      <w:tr>
        <w:trPr>
          <w:tblHeader w:val="true"/>
        </w:trPr>
        <w:tc>
          <w:tcPr>
            <w:tcW w:w="87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40A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Segment ID</w:t>
            </w:r>
          </w:p>
        </w:tc>
        <w:tc>
          <w:tcPr>
            <w:tcW w:w="10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40A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Customer</w:t>
            </w:r>
          </w:p>
        </w:tc>
        <w:tc>
          <w:tcPr>
            <w:tcW w:w="128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40A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Sub-Segment</w:t>
            </w:r>
          </w:p>
        </w:tc>
        <w:tc>
          <w:tcPr>
            <w:tcW w:w="17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40A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9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40A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Min (VNDm)</w:t>
            </w:r>
          </w:p>
        </w:tc>
        <w:tc>
          <w:tcPr>
            <w:tcW w:w="114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40A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Max (VNDm)</w:t>
            </w:r>
          </w:p>
        </w:tc>
        <w:tc>
          <w:tcPr>
            <w:tcW w:w="8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40A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Rate</w:t>
            </w:r>
          </w:p>
        </w:tc>
        <w:tc>
          <w:tcPr>
            <w:tcW w:w="14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40A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% Portfolio</w:t>
            </w:r>
          </w:p>
        </w:tc>
      </w:tr>
      <w:tr>
        <w:trPr/>
        <w:tc>
          <w:tcPr>
            <w:tcW w:w="87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IND-001</w:t>
            </w:r>
          </w:p>
        </w:tc>
        <w:tc>
          <w:tcPr>
            <w:tcW w:w="10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Cá nhân</w:t>
            </w:r>
          </w:p>
        </w:tc>
        <w:tc>
          <w:tcPr>
            <w:tcW w:w="128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KH Ưu tiên</w:t>
            </w:r>
          </w:p>
        </w:tc>
        <w:tc>
          <w:tcPr>
            <w:tcW w:w="17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Vay mua nhà</w:t>
            </w:r>
          </w:p>
        </w:tc>
        <w:tc>
          <w:tcPr>
            <w:tcW w:w="9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500</w:t>
            </w:r>
          </w:p>
        </w:tc>
        <w:tc>
          <w:tcPr>
            <w:tcW w:w="114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20,000</w:t>
            </w:r>
          </w:p>
        </w:tc>
        <w:tc>
          <w:tcPr>
            <w:tcW w:w="8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7.5%</w:t>
            </w:r>
          </w:p>
        </w:tc>
        <w:tc>
          <w:tcPr>
            <w:tcW w:w="14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18%</w:t>
            </w:r>
          </w:p>
        </w:tc>
      </w:tr>
      <w:tr>
        <w:trPr/>
        <w:tc>
          <w:tcPr>
            <w:tcW w:w="87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IND-002</w:t>
            </w:r>
          </w:p>
        </w:tc>
        <w:tc>
          <w:tcPr>
            <w:tcW w:w="10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Cá nhân</w:t>
            </w:r>
          </w:p>
        </w:tc>
        <w:tc>
          <w:tcPr>
            <w:tcW w:w="128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KH Ưu tiên</w:t>
            </w:r>
          </w:p>
        </w:tc>
        <w:tc>
          <w:tcPr>
            <w:tcW w:w="17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Vay mua xe</w:t>
            </w:r>
          </w:p>
        </w:tc>
        <w:tc>
          <w:tcPr>
            <w:tcW w:w="9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200</w:t>
            </w:r>
          </w:p>
        </w:tc>
        <w:tc>
          <w:tcPr>
            <w:tcW w:w="114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3,000</w:t>
            </w:r>
          </w:p>
        </w:tc>
        <w:tc>
          <w:tcPr>
            <w:tcW w:w="8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8.2%</w:t>
            </w:r>
          </w:p>
        </w:tc>
        <w:tc>
          <w:tcPr>
            <w:tcW w:w="14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6%</w:t>
            </w:r>
          </w:p>
        </w:tc>
      </w:tr>
      <w:tr>
        <w:trPr/>
        <w:tc>
          <w:tcPr>
            <w:tcW w:w="87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IND-003</w:t>
            </w:r>
          </w:p>
        </w:tc>
        <w:tc>
          <w:tcPr>
            <w:tcW w:w="10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Cá nhân</w:t>
            </w:r>
          </w:p>
        </w:tc>
        <w:tc>
          <w:tcPr>
            <w:tcW w:w="128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KH Ưu tiên</w:t>
            </w:r>
          </w:p>
        </w:tc>
        <w:tc>
          <w:tcPr>
            <w:tcW w:w="17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Thẻ tín dụng</w:t>
            </w:r>
          </w:p>
        </w:tc>
        <w:tc>
          <w:tcPr>
            <w:tcW w:w="9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10</w:t>
            </w:r>
          </w:p>
        </w:tc>
        <w:tc>
          <w:tcPr>
            <w:tcW w:w="114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500</w:t>
            </w:r>
          </w:p>
        </w:tc>
        <w:tc>
          <w:tcPr>
            <w:tcW w:w="8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18.0%</w:t>
            </w:r>
          </w:p>
        </w:tc>
        <w:tc>
          <w:tcPr>
            <w:tcW w:w="14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4%</w:t>
            </w:r>
          </w:p>
        </w:tc>
      </w:tr>
      <w:tr>
        <w:trPr/>
        <w:tc>
          <w:tcPr>
            <w:tcW w:w="87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IND-004</w:t>
            </w:r>
          </w:p>
        </w:tc>
        <w:tc>
          <w:tcPr>
            <w:tcW w:w="10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Cá nhân</w:t>
            </w:r>
          </w:p>
        </w:tc>
        <w:tc>
          <w:tcPr>
            <w:tcW w:w="128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KH Phổ thông</w:t>
            </w:r>
          </w:p>
        </w:tc>
        <w:tc>
          <w:tcPr>
            <w:tcW w:w="17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Vay tiêu dùng</w:t>
            </w:r>
          </w:p>
        </w:tc>
        <w:tc>
          <w:tcPr>
            <w:tcW w:w="9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20</w:t>
            </w:r>
          </w:p>
        </w:tc>
        <w:tc>
          <w:tcPr>
            <w:tcW w:w="114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500</w:t>
            </w:r>
          </w:p>
        </w:tc>
        <w:tc>
          <w:tcPr>
            <w:tcW w:w="8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12.5%</w:t>
            </w:r>
          </w:p>
        </w:tc>
        <w:tc>
          <w:tcPr>
            <w:tcW w:w="14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15%</w:t>
            </w:r>
          </w:p>
        </w:tc>
      </w:tr>
      <w:tr>
        <w:trPr/>
        <w:tc>
          <w:tcPr>
            <w:tcW w:w="87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IND-005</w:t>
            </w:r>
          </w:p>
        </w:tc>
        <w:tc>
          <w:tcPr>
            <w:tcW w:w="10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Cá nhân</w:t>
            </w:r>
          </w:p>
        </w:tc>
        <w:tc>
          <w:tcPr>
            <w:tcW w:w="128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KH Phổ thông</w:t>
            </w:r>
          </w:p>
        </w:tc>
        <w:tc>
          <w:tcPr>
            <w:tcW w:w="17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Vay mua xe</w:t>
            </w:r>
          </w:p>
        </w:tc>
        <w:tc>
          <w:tcPr>
            <w:tcW w:w="9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100</w:t>
            </w:r>
          </w:p>
        </w:tc>
        <w:tc>
          <w:tcPr>
            <w:tcW w:w="114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1,500</w:t>
            </w:r>
          </w:p>
        </w:tc>
        <w:tc>
          <w:tcPr>
            <w:tcW w:w="8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9.5%</w:t>
            </w:r>
          </w:p>
        </w:tc>
        <w:tc>
          <w:tcPr>
            <w:tcW w:w="14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8%</w:t>
            </w:r>
          </w:p>
        </w:tc>
      </w:tr>
      <w:tr>
        <w:trPr/>
        <w:tc>
          <w:tcPr>
            <w:tcW w:w="87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IND-006</w:t>
            </w:r>
          </w:p>
        </w:tc>
        <w:tc>
          <w:tcPr>
            <w:tcW w:w="10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Cá nhân</w:t>
            </w:r>
          </w:p>
        </w:tc>
        <w:tc>
          <w:tcPr>
            <w:tcW w:w="128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KH Phổ thông</w:t>
            </w:r>
          </w:p>
        </w:tc>
        <w:tc>
          <w:tcPr>
            <w:tcW w:w="17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Vay du học</w:t>
            </w:r>
          </w:p>
        </w:tc>
        <w:tc>
          <w:tcPr>
            <w:tcW w:w="9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50</w:t>
            </w:r>
          </w:p>
        </w:tc>
        <w:tc>
          <w:tcPr>
            <w:tcW w:w="114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2,000</w:t>
            </w:r>
          </w:p>
        </w:tc>
        <w:tc>
          <w:tcPr>
            <w:tcW w:w="8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8.8%</w:t>
            </w:r>
          </w:p>
        </w:tc>
        <w:tc>
          <w:tcPr>
            <w:tcW w:w="14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3%</w:t>
            </w:r>
          </w:p>
        </w:tc>
      </w:tr>
      <w:tr>
        <w:trPr/>
        <w:tc>
          <w:tcPr>
            <w:tcW w:w="87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CORP-004</w:t>
            </w:r>
          </w:p>
        </w:tc>
        <w:tc>
          <w:tcPr>
            <w:tcW w:w="10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Doanh nghiệp</w:t>
            </w:r>
          </w:p>
        </w:tc>
        <w:tc>
          <w:tcPr>
            <w:tcW w:w="128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SME</w:t>
            </w:r>
          </w:p>
        </w:tc>
        <w:tc>
          <w:tcPr>
            <w:tcW w:w="17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Vay đầu tư</w:t>
            </w:r>
          </w:p>
        </w:tc>
        <w:tc>
          <w:tcPr>
            <w:tcW w:w="9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2,000</w:t>
            </w:r>
          </w:p>
        </w:tc>
        <w:tc>
          <w:tcPr>
            <w:tcW w:w="114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50,000</w:t>
            </w:r>
          </w:p>
        </w:tc>
        <w:tc>
          <w:tcPr>
            <w:tcW w:w="8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9.0%</w:t>
            </w:r>
          </w:p>
        </w:tc>
        <w:tc>
          <w:tcPr>
            <w:tcW w:w="14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8%</w:t>
            </w:r>
          </w:p>
        </w:tc>
      </w:tr>
      <w:tr>
        <w:trPr/>
        <w:tc>
          <w:tcPr>
            <w:tcW w:w="87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CORP-005</w:t>
            </w:r>
          </w:p>
        </w:tc>
        <w:tc>
          <w:tcPr>
            <w:tcW w:w="10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Doanh nghiệp</w:t>
            </w:r>
          </w:p>
        </w:tc>
        <w:tc>
          <w:tcPr>
            <w:tcW w:w="128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SME</w:t>
            </w:r>
          </w:p>
        </w:tc>
        <w:tc>
          <w:tcPr>
            <w:tcW w:w="17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Tài trợ thương mại</w:t>
            </w:r>
          </w:p>
        </w:tc>
        <w:tc>
          <w:tcPr>
            <w:tcW w:w="9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1,000</w:t>
            </w:r>
          </w:p>
        </w:tc>
        <w:tc>
          <w:tcPr>
            <w:tcW w:w="114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30,000</w:t>
            </w:r>
          </w:p>
        </w:tc>
        <w:tc>
          <w:tcPr>
            <w:tcW w:w="8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8.5%</w:t>
            </w:r>
          </w:p>
        </w:tc>
        <w:tc>
          <w:tcPr>
            <w:tcW w:w="14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6%</w:t>
            </w:r>
          </w:p>
        </w:tc>
      </w:tr>
      <w:tr>
        <w:trPr/>
        <w:tc>
          <w:tcPr>
            <w:tcW w:w="87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CORP-007</w:t>
            </w:r>
          </w:p>
        </w:tc>
        <w:tc>
          <w:tcPr>
            <w:tcW w:w="10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Doanh nghiệp</w:t>
            </w:r>
          </w:p>
        </w:tc>
        <w:tc>
          <w:tcPr>
            <w:tcW w:w="128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Large Corp</w:t>
            </w:r>
          </w:p>
        </w:tc>
        <w:tc>
          <w:tcPr>
            <w:tcW w:w="17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Syndicated Loan</w:t>
            </w:r>
          </w:p>
        </w:tc>
        <w:tc>
          <w:tcPr>
            <w:tcW w:w="9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50,000</w:t>
            </w:r>
          </w:p>
        </w:tc>
        <w:tc>
          <w:tcPr>
            <w:tcW w:w="114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500,000</w:t>
            </w:r>
          </w:p>
        </w:tc>
        <w:tc>
          <w:tcPr>
            <w:tcW w:w="8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7.8%</w:t>
            </w:r>
          </w:p>
        </w:tc>
        <w:tc>
          <w:tcPr>
            <w:tcW w:w="14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4%</w:t>
            </w:r>
          </w:p>
        </w:tc>
      </w:tr>
      <w:tr>
        <w:trPr/>
        <w:tc>
          <w:tcPr>
            <w:tcW w:w="87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CORP-008</w:t>
            </w:r>
          </w:p>
        </w:tc>
        <w:tc>
          <w:tcPr>
            <w:tcW w:w="10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Doanh nghiệp</w:t>
            </w:r>
          </w:p>
        </w:tc>
        <w:tc>
          <w:tcPr>
            <w:tcW w:w="128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Large Corp</w:t>
            </w:r>
          </w:p>
        </w:tc>
        <w:tc>
          <w:tcPr>
            <w:tcW w:w="17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Project Finance</w:t>
            </w:r>
          </w:p>
        </w:tc>
        <w:tc>
          <w:tcPr>
            <w:tcW w:w="98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100,000</w:t>
            </w:r>
          </w:p>
        </w:tc>
        <w:tc>
          <w:tcPr>
            <w:tcW w:w="114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1,000,000</w:t>
            </w:r>
          </w:p>
        </w:tc>
        <w:tc>
          <w:tcPr>
            <w:tcW w:w="8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8.0%</w:t>
            </w:r>
          </w:p>
        </w:tc>
        <w:tc>
          <w:tcPr>
            <w:tcW w:w="14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2%</w:t>
            </w:r>
          </w:p>
        </w:tc>
      </w:tr>
    </w:tbl>
    <w:p>
      <w:pPr>
        <w:pStyle w:val="Normal"/>
        <w:spacing w:before="60" w:after="240"/>
        <w:jc w:val="center"/>
        <w:rPr/>
      </w:pPr>
      <w:r>
        <w:rPr>
          <w:i/>
          <w:iCs/>
          <w:color w:val="475569"/>
          <w:sz w:val="20"/>
          <w:szCs w:val="20"/>
        </w:rPr>
        <w:t>Bảng 1. Product Matrix — 10 sản phẩm tiêu biểu (Min/Max loan tính theo VND triệu)</w:t>
      </w:r>
    </w:p>
    <w:p>
      <w:pPr>
        <w:pStyle w:val="Heading1"/>
        <w:rPr/>
      </w:pPr>
      <w:r>
        <w:rPr/>
        <w:t>4. Logic xét duyệt tín dụng</w:t>
      </w:r>
    </w:p>
    <w:p>
      <w:pPr>
        <w:pStyle w:val="Normal"/>
        <w:spacing w:before="0" w:after="120"/>
        <w:rPr/>
      </w:pPr>
      <w:r>
        <w:rPr/>
        <w:t>Quy trình 7 bước: KYC → Credit Score → Income → DTI → Collateral → Risk Rating → Final Approval. Bất kỳ bước nào fail đều dẫn đến REJECT hoặc YÊU CẦU BỔ SUNG hồ sơ.</w:t>
      </w:r>
    </w:p>
    <w:p>
      <w:pPr>
        <w:pStyle w:val="Heading2"/>
        <w:rPr/>
      </w:pPr>
      <w:r>
        <w:rPr/>
        <w:t>7 cổng quyết định</w:t>
      </w:r>
    </w:p>
    <w:p>
      <w:pPr>
        <w:pStyle w:val="ListParagraph"/>
        <w:numPr>
          <w:ilvl w:val="0"/>
          <w:numId w:val="6"/>
        </w:numPr>
        <w:rPr/>
      </w:pPr>
      <w:r>
        <w:rPr/>
        <w:t>KYC — Hồ sơ pháp lý hợp lệ</w:t>
      </w:r>
    </w:p>
    <w:p>
      <w:pPr>
        <w:pStyle w:val="ListParagraph"/>
        <w:numPr>
          <w:ilvl w:val="0"/>
          <w:numId w:val="2"/>
        </w:numPr>
        <w:rPr/>
      </w:pPr>
      <w:r>
        <w:rPr/>
        <w:t>Score — CIC ≥ 600, không nợ xấu</w:t>
      </w:r>
    </w:p>
    <w:p>
      <w:pPr>
        <w:pStyle w:val="ListParagraph"/>
        <w:numPr>
          <w:ilvl w:val="0"/>
          <w:numId w:val="2"/>
        </w:numPr>
        <w:rPr/>
      </w:pPr>
      <w:r>
        <w:rPr/>
        <w:t>Income — TN ≥ 2× kỳ trả nợ</w:t>
      </w:r>
    </w:p>
    <w:p>
      <w:pPr>
        <w:pStyle w:val="ListParagraph"/>
        <w:numPr>
          <w:ilvl w:val="0"/>
          <w:numId w:val="2"/>
        </w:numPr>
        <w:rPr/>
      </w:pPr>
      <w:r>
        <w:rPr/>
        <w:t>DTI — Debt-to-Income &lt; 50%</w:t>
      </w:r>
    </w:p>
    <w:p>
      <w:pPr>
        <w:pStyle w:val="ListParagraph"/>
        <w:numPr>
          <w:ilvl w:val="0"/>
          <w:numId w:val="2"/>
        </w:numPr>
        <w:rPr/>
      </w:pPr>
      <w:r>
        <w:rPr/>
        <w:t>Collateral — LTV ≤ 70–80%</w:t>
      </w:r>
    </w:p>
    <w:p>
      <w:pPr>
        <w:pStyle w:val="ListParagraph"/>
        <w:numPr>
          <w:ilvl w:val="0"/>
          <w:numId w:val="2"/>
        </w:numPr>
        <w:rPr/>
      </w:pPr>
      <w:r>
        <w:rPr/>
        <w:t>Rating — Risk Rating ≥ BB</w:t>
      </w:r>
    </w:p>
    <w:p>
      <w:pPr>
        <w:pStyle w:val="ListParagraph"/>
        <w:numPr>
          <w:ilvl w:val="0"/>
          <w:numId w:val="2"/>
        </w:numPr>
        <w:rPr/>
      </w:pPr>
      <w:r>
        <w:rPr/>
        <w:t>Final — Hội đồng tín dụng</w:t>
      </w:r>
    </w:p>
    <w:p>
      <w:pPr>
        <w:pStyle w:val="Heading2"/>
        <w:rPr/>
      </w:pPr>
      <w:r>
        <w:rPr/>
        <w:t>Sơ đồ luồng quyết định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143500" cy="3429000"/>
            <wp:effectExtent l="0" t="0" r="0" b="0"/>
            <wp:docPr id="3" name="diagram_flow.png" descr="diagram_flow.png" title="diagram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_flow.png" descr="diagram_flow.png" title="diagram_flow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color w:val="475569"/>
          <w:sz w:val="20"/>
          <w:szCs w:val="20"/>
        </w:rPr>
        <w:t>Hình 2. Credit Decision Flow — Luồng quyết định cho vay (rút gọn)</w:t>
      </w:r>
    </w:p>
    <w:p>
      <w:pPr>
        <w:pStyle w:val="Heading1"/>
        <w:rPr/>
      </w:pPr>
      <w:r>
        <w:rPr/>
        <w:t>5. Timeline quy trình cho vay</w:t>
      </w:r>
    </w:p>
    <w:p>
      <w:pPr>
        <w:pStyle w:val="Normal"/>
        <w:spacing w:before="0" w:after="120"/>
        <w:rPr/>
      </w:pPr>
      <w:r>
        <w:rPr/>
        <w:t>End-to-end loan lifecycle from application to repayment. Lộ trình D+0 → M+1~N được chia thành 3 giai đoạn lớn: Pre-approval (D+0 → D+10), Disbursement (D+11 → D+14), và Monitoring (M+1 → N).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099"/>
        <w:gridCol w:w="2201"/>
        <w:gridCol w:w="1399"/>
        <w:gridCol w:w="2201"/>
        <w:gridCol w:w="2460"/>
      </w:tblGrid>
      <w:tr>
        <w:trPr>
          <w:tblHeader w:val="true"/>
        </w:trPr>
        <w:tc>
          <w:tcPr>
            <w:tcW w:w="10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40A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Mốc</w:t>
            </w:r>
          </w:p>
        </w:tc>
        <w:tc>
          <w:tcPr>
            <w:tcW w:w="22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40A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Giai đoạn</w:t>
            </w:r>
          </w:p>
        </w:tc>
        <w:tc>
          <w:tcPr>
            <w:tcW w:w="13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40A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SLA</w:t>
            </w:r>
          </w:p>
        </w:tc>
        <w:tc>
          <w:tcPr>
            <w:tcW w:w="22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40A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Phòng ban</w:t>
            </w:r>
          </w:p>
        </w:tc>
        <w:tc>
          <w:tcPr>
            <w:tcW w:w="246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40A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D+0</w:t>
            </w:r>
          </w:p>
        </w:tc>
        <w:tc>
          <w:tcPr>
            <w:tcW w:w="22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Nộp hồ sơ</w:t>
            </w:r>
          </w:p>
        </w:tc>
        <w:tc>
          <w:tcPr>
            <w:tcW w:w="13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1 ngày</w:t>
            </w:r>
          </w:p>
        </w:tc>
        <w:tc>
          <w:tcPr>
            <w:tcW w:w="22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Front Office</w:t>
            </w:r>
          </w:p>
        </w:tc>
        <w:tc>
          <w:tcPr>
            <w:tcW w:w="246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Hồ sơ vay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D+1~3</w:t>
            </w:r>
          </w:p>
        </w:tc>
        <w:tc>
          <w:tcPr>
            <w:tcW w:w="22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Thẩm định hồ sơ</w:t>
            </w:r>
          </w:p>
        </w:tc>
        <w:tc>
          <w:tcPr>
            <w:tcW w:w="13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3 ngày</w:t>
            </w:r>
          </w:p>
        </w:tc>
        <w:tc>
          <w:tcPr>
            <w:tcW w:w="22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Operations</w:t>
            </w:r>
          </w:p>
        </w:tc>
        <w:tc>
          <w:tcPr>
            <w:tcW w:w="246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Báo cáo KYC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D+4~7</w:t>
            </w:r>
          </w:p>
        </w:tc>
        <w:tc>
          <w:tcPr>
            <w:tcW w:w="22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Đánh giá tín dụng</w:t>
            </w:r>
          </w:p>
        </w:tc>
        <w:tc>
          <w:tcPr>
            <w:tcW w:w="13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4 ngày</w:t>
            </w:r>
          </w:p>
        </w:tc>
        <w:tc>
          <w:tcPr>
            <w:tcW w:w="22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Underwriting</w:t>
            </w:r>
          </w:p>
        </w:tc>
        <w:tc>
          <w:tcPr>
            <w:tcW w:w="246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Credit Memo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D+8~10</w:t>
            </w:r>
          </w:p>
        </w:tc>
        <w:tc>
          <w:tcPr>
            <w:tcW w:w="22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Định giá TSĐB</w:t>
            </w:r>
          </w:p>
        </w:tc>
        <w:tc>
          <w:tcPr>
            <w:tcW w:w="13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3 ngày</w:t>
            </w:r>
          </w:p>
        </w:tc>
        <w:tc>
          <w:tcPr>
            <w:tcW w:w="22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Appraisal</w:t>
            </w:r>
          </w:p>
        </w:tc>
        <w:tc>
          <w:tcPr>
            <w:tcW w:w="246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Báo cáo định giá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D+11~12</w:t>
            </w:r>
          </w:p>
        </w:tc>
        <w:tc>
          <w:tcPr>
            <w:tcW w:w="22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Phê duyệt</w:t>
            </w:r>
          </w:p>
        </w:tc>
        <w:tc>
          <w:tcPr>
            <w:tcW w:w="13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2 ngày</w:t>
            </w:r>
          </w:p>
        </w:tc>
        <w:tc>
          <w:tcPr>
            <w:tcW w:w="22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Credit Committee</w:t>
            </w:r>
          </w:p>
        </w:tc>
        <w:tc>
          <w:tcPr>
            <w:tcW w:w="246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Quyết định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D+13~14</w:t>
            </w:r>
          </w:p>
        </w:tc>
        <w:tc>
          <w:tcPr>
            <w:tcW w:w="22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Giải ngân</w:t>
            </w:r>
          </w:p>
        </w:tc>
        <w:tc>
          <w:tcPr>
            <w:tcW w:w="13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2 ngày</w:t>
            </w:r>
          </w:p>
        </w:tc>
        <w:tc>
          <w:tcPr>
            <w:tcW w:w="22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Operations</w:t>
            </w:r>
          </w:p>
        </w:tc>
        <w:tc>
          <w:tcPr>
            <w:tcW w:w="246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HĐ + tiền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M+1~N</w:t>
            </w:r>
          </w:p>
        </w:tc>
        <w:tc>
          <w:tcPr>
            <w:tcW w:w="22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Thu hồi nợ</w:t>
            </w:r>
          </w:p>
        </w:tc>
        <w:tc>
          <w:tcPr>
            <w:tcW w:w="13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Định kỳ</w:t>
            </w:r>
          </w:p>
        </w:tc>
        <w:tc>
          <w:tcPr>
            <w:tcW w:w="22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Collection</w:t>
            </w:r>
          </w:p>
        </w:tc>
        <w:tc>
          <w:tcPr>
            <w:tcW w:w="246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EFF6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Lịch trả nợ</w:t>
            </w:r>
          </w:p>
        </w:tc>
      </w:tr>
    </w:tbl>
    <w:p>
      <w:pPr>
        <w:pStyle w:val="Normal"/>
        <w:spacing w:before="60" w:after="240"/>
        <w:jc w:val="center"/>
        <w:rPr/>
      </w:pPr>
      <w:r>
        <w:rPr>
          <w:i/>
          <w:iCs/>
          <w:color w:val="475569"/>
          <w:sz w:val="20"/>
          <w:szCs w:val="20"/>
        </w:rPr>
        <w:t>Bảng 2. Lending Process Timeline — Mốc, SLA và output cho từng giai đoạn</w:t>
      </w:r>
    </w:p>
    <w:p>
      <w:pPr>
        <w:pStyle w:val="Heading1"/>
        <w:rPr/>
      </w:pPr>
      <w:r>
        <w:rPr/>
        <w:t>6. Portfolio &amp; Risk Metrics</w:t>
      </w:r>
    </w:p>
    <w:p>
      <w:pPr>
        <w:pStyle w:val="Heading2"/>
        <w:rPr/>
      </w:pPr>
      <w:r>
        <w:rPr/>
        <w:t>6.1. Cơ cấu danh mục theo sản phẩm</w:t>
      </w:r>
    </w:p>
    <w:p>
      <w:pPr>
        <w:pStyle w:val="Normal"/>
        <w:spacing w:before="0" w:after="120"/>
        <w:rPr/>
      </w:pPr>
      <w:r>
        <w:rPr/>
        <w:t>Doughnut chart bên dưới thể hiện tỷ trọng % của từng sản phẩm trong tổng portfolio.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4572000" cy="3238500"/>
            <wp:effectExtent l="0" t="0" r="0" b="0"/>
            <wp:docPr id="4" name="chart_doughnut.png" descr="chart_doughnut.png" title="chart_doughn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art_doughnut.png" descr="chart_doughnut.png" title="chart_doughnu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color w:val="475569"/>
          <w:sz w:val="20"/>
          <w:szCs w:val="20"/>
        </w:rPr>
        <w:t>Biểu đồ 1. Portfolio Mix — Phân bổ % danh mục theo sản phẩm</w:t>
      </w:r>
    </w:p>
    <w:p>
      <w:pPr>
        <w:pStyle w:val="Heading2"/>
        <w:rPr/>
      </w:pPr>
      <w:r>
        <w:rPr/>
        <w:t>6.2. Phân bố Credit Score</w:t>
      </w:r>
    </w:p>
    <w:p>
      <w:pPr>
        <w:pStyle w:val="Normal"/>
        <w:spacing w:before="0" w:after="120"/>
        <w:rPr/>
      </w:pPr>
      <w:r>
        <w:rPr/>
        <w:t>Phần lớn khách hàng tập trung ở dải 600–699 (đạt ngưỡng pass tại bước B2). Khoảng 40 KH có điểm &lt;600 sẽ bị reject tại bước Credit Score.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4953000" cy="2762250"/>
            <wp:effectExtent l="0" t="0" r="0" b="0"/>
            <wp:docPr id="5" name="chart_bar.png" descr="chart_bar.png" title="chart_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hart_bar.png" descr="chart_bar.png" title="chart_bar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color w:val="475569"/>
          <w:sz w:val="20"/>
          <w:szCs w:val="20"/>
        </w:rPr>
        <w:t>Biểu đồ 2. Credit Score Distribution — Phân bố CIC score theo dải điểm</w:t>
      </w:r>
    </w:p>
    <w:p>
      <w:pPr>
        <w:pStyle w:val="Heading1"/>
        <w:rPr/>
      </w:pPr>
      <w:r>
        <w:rPr/>
        <w:t>7. Key Takeaways</w:t>
      </w:r>
    </w:p>
    <w:p>
      <w:pPr>
        <w:pStyle w:val="ListParagraph"/>
        <w:numPr>
          <w:ilvl w:val="0"/>
          <w:numId w:val="7"/>
        </w:numPr>
        <w:rPr/>
      </w:pPr>
      <w:r>
        <w:rPr/>
        <w:t>Phân khúc rõ ràng — Cây 3 cấp giúp định nghĩa target customer cho từng sản phẩm, tránh chồng lấn và sai khẩu vị rủi ro.</w:t>
      </w:r>
    </w:p>
    <w:p>
      <w:pPr>
        <w:pStyle w:val="ListParagraph"/>
        <w:numPr>
          <w:ilvl w:val="0"/>
          <w:numId w:val="3"/>
        </w:numPr>
        <w:rPr/>
      </w:pPr>
      <w:r>
        <w:rPr/>
        <w:t>Logic xét duyệt chuẩn hóa — 7 bước với threshold cụ thể: bất kỳ ai cũng có thể audit ngược lại quyết định approve/reject.</w:t>
      </w:r>
    </w:p>
    <w:p>
      <w:pPr>
        <w:pStyle w:val="ListParagraph"/>
        <w:numPr>
          <w:ilvl w:val="0"/>
          <w:numId w:val="3"/>
        </w:numPr>
        <w:rPr/>
      </w:pPr>
      <w:r>
        <w:rPr/>
        <w:t>SLA đo được — Timeline D+0 → D+14 + thu hồi M+1~N cho phép set KPI cho từng phòng ban.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i/>
          <w:iCs/>
          <w:color w:val="475569"/>
          <w:sz w:val="18"/>
          <w:szCs w:val="18"/>
        </w:rPr>
        <w:t>Credit Strategy Team • Q2 2026 • credit-strategy@bank.vn</w:t>
      </w:r>
    </w:p>
    <w:sectPr>
      <w:headerReference w:type="even" r:id="rId10"/>
      <w:headerReference w:type="default" r:id="rId11"/>
      <w:headerReference w:type="first" r:id="rId12"/>
      <w:footerReference w:type="even" r:id="rId13"/>
      <w:footerReference w:type="default" r:id="rId14"/>
      <w:footerReference w:type="first" r:id="rId15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475569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475569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i/>
        <w:iCs/>
        <w:color w:val="475569"/>
        <w:sz w:val="18"/>
        <w:szCs w:val="18"/>
      </w:rPr>
      <w:t>Logic Tree Lending • Credit Strategy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i/>
        <w:iCs/>
        <w:color w:val="475569"/>
        <w:sz w:val="18"/>
        <w:szCs w:val="18"/>
      </w:rPr>
      <w:t>Logic Tree Lending • Credit Strategy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1E40AF"/>
      <w:sz w:val="30"/>
      <w:szCs w:val="30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7C3AED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diagramData" Target="diagrams/data2.xml"/><Relationship Id="rId4" Type="http://schemas.openxmlformats.org/officeDocument/2006/relationships/diagramLayout" Target="diagrams/layout2.xml"/><Relationship Id="rId5" Type="http://schemas.openxmlformats.org/officeDocument/2006/relationships/diagramQuickStyle" Target="diagrams/quickStyle2.xml"/><Relationship Id="rId6" Type="http://schemas.openxmlformats.org/officeDocument/2006/relationships/diagramColors" Target="diagrams/colors2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2.xml><?xml version="1.0" encoding="utf-8"?>
<dgm:dataModel xmlns:dgm="http://schemas.openxmlformats.org/drawingml/2006/diagram" xmlns:a="http://schemas.openxmlformats.org/drawingml/2006/main">
  <dgm:ptLst>
    <dgm:pt modelId="{E91F32F3-B4D2-4874-B7C8-B38898C3429E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79BF2BA-C12D-41F0-98AB-ECF0687C8930}">
      <dgm:prSet phldrT="[Text]"/>
      <dgm:spPr/>
      <dgm:t>
        <a:bodyPr/>
        <a:lstStyle/>
        <a:p>
          <a:r>
            <a:rPr lang="en-US" dirty="0" smtClean="0"/>
            <a:t>KHÁCH HÀNG VAY</a:t>
          </a:r>
          <a:endParaRPr lang="en-US" dirty="0"/>
        </a:p>
        <a:p>
          <a:r>
            <a:rPr lang="en-US" dirty="0" smtClean="0"/>
            <a:t>(Lending segment)</a:t>
          </a:r>
          <a:endParaRPr lang="en-US" dirty="0"/>
        </a:p>
      </dgm:t>
    </dgm:pt>
    <dgm:pt modelId="{5C706A80-9F77-435D-9A81-12AE85E9301B}" type="parTrans" cxnId="{23955F49-FB11-4B92-B7A7-EED9CEEE5367}">
      <dgm:prSet/>
      <dgm:spPr/>
      <dgm:t>
        <a:bodyPr/>
        <a:lstStyle/>
        <a:p>
          <a:endParaRPr lang="en-US"/>
        </a:p>
      </dgm:t>
    </dgm:pt>
    <dgm:pt modelId="{C96AB820-3048-4232-AAB2-0139EC082F34}" type="sibTrans" cxnId="{23955F49-FB11-4B92-B7A7-EED9CEEE5367}">
      <dgm:prSet/>
      <dgm:spPr/>
      <dgm:t>
        <a:bodyPr/>
        <a:lstStyle/>
        <a:p>
          <a:endParaRPr lang="en-US"/>
        </a:p>
      </dgm:t>
    </dgm:pt>
    <dgm:pt modelId="{4C56CC9F-0CFC-4191-B98C-D01C5D04FD77}">
      <dgm:prSet phldrT="[Text]"/>
      <dgm:spPr/>
      <dgm:t>
        <a:bodyPr/>
        <a:lstStyle/>
        <a:p>
          <a:r>
            <a:rPr lang="en-US" dirty="0" smtClean="0"/>
            <a:t>KH CÁ NHÂN</a:t>
          </a:r>
          <a:endParaRPr lang="en-US" dirty="0"/>
        </a:p>
      </dgm:t>
    </dgm:pt>
    <dgm:pt modelId="{FD244A27-16C9-4184-91E5-921C7737C3A4}" type="parTrans" cxnId="{4961BDC5-724B-4CD5-B550-38AA49D4F23C}">
      <dgm:prSet/>
      <dgm:spPr/>
      <dgm:t>
        <a:bodyPr/>
        <a:lstStyle/>
        <a:p>
          <a:endParaRPr lang="en-US"/>
        </a:p>
      </dgm:t>
    </dgm:pt>
    <dgm:pt modelId="{D8D65D54-A0CA-4F3D-BF9F-0D6998BAA758}" type="sibTrans" cxnId="{4961BDC5-724B-4CD5-B550-38AA49D4F23C}">
      <dgm:prSet/>
      <dgm:spPr/>
      <dgm:t>
        <a:bodyPr/>
        <a:lstStyle/>
        <a:p>
          <a:endParaRPr lang="en-US"/>
        </a:p>
      </dgm:t>
    </dgm:pt>
    <dgm:pt modelId="{EE8A25CC-646E-4C3E-A390-0945F2BDB392}">
      <dgm:prSet phldrT="[Text]"/>
      <dgm:spPr/>
      <dgm:t>
        <a:bodyPr/>
        <a:lstStyle/>
        <a:p>
          <a:r>
            <a:rPr lang="en-US" dirty="0" smtClean="0"/>
            <a:t>KH DOANH NGHIỆP</a:t>
          </a:r>
          <a:endParaRPr lang="en-US" dirty="0"/>
        </a:p>
      </dgm:t>
    </dgm:pt>
    <dgm:pt modelId="{F24B68E4-F207-4331-AB2E-874EF6376E5A}" type="parTrans" cxnId="{7D12767F-1F85-4A68-A5EA-692214E31832}">
      <dgm:prSet/>
      <dgm:spPr/>
      <dgm:t>
        <a:bodyPr/>
        <a:lstStyle/>
        <a:p>
          <a:endParaRPr lang="en-US"/>
        </a:p>
      </dgm:t>
    </dgm:pt>
    <dgm:pt modelId="{C0963BE2-9AA3-4137-9EAC-5EB96AB269CB}" type="sibTrans" cxnId="{7D12767F-1F85-4A68-A5EA-692214E31832}">
      <dgm:prSet/>
      <dgm:spPr/>
      <dgm:t>
        <a:bodyPr/>
        <a:lstStyle/>
        <a:p>
          <a:endParaRPr lang="en-US"/>
        </a:p>
      </dgm:t>
    </dgm:pt>
    <dgm:pt modelId="{CD4A3225-006D-4542-B06E-2238A0DE6B7C}">
      <dgm:prSet phldrT="[Text]"/>
      <dgm:spPr/>
      <dgm:t>
        <a:bodyPr/>
        <a:lstStyle/>
        <a:p>
          <a:r>
            <a:rPr lang="en-US" dirty="0" smtClean="0"/>
            <a:t>Bank Products</a:t>
          </a:r>
          <a:endParaRPr lang="en-US" dirty="0"/>
        </a:p>
      </dgm:t>
    </dgm:pt>
    <dgm:pt modelId="{FF7A74B8-34FF-4356-9BA9-9E7408DE5F79}" type="parTrans" cxnId="{4B7FC525-321D-45C1-AFC6-FABC21317025}">
      <dgm:prSet/>
      <dgm:spPr/>
      <dgm:t>
        <a:bodyPr/>
        <a:lstStyle/>
        <a:p>
          <a:endParaRPr lang="en-US"/>
        </a:p>
      </dgm:t>
    </dgm:pt>
    <dgm:pt modelId="{6B33B7A5-2385-4A27-B778-BEC5E47D1336}" type="sibTrans" cxnId="{4B7FC525-321D-45C1-AFC6-FABC21317025}">
      <dgm:prSet/>
      <dgm:spPr/>
      <dgm:t>
        <a:bodyPr/>
        <a:lstStyle/>
        <a:p>
          <a:endParaRPr lang="en-US"/>
        </a:p>
      </dgm:t>
    </dgm:pt>
    <dgm:pt modelId="{819F243A-D3B6-4E91-AF5E-691A813F59DF}" type="asst">
      <dgm:prSet/>
      <dgm:spPr/>
      <dgm:t>
        <a:bodyPr/>
        <a:lstStyle/>
        <a:p>
          <a:r>
            <a:rPr lang="en-US" dirty="0" smtClean="0"/>
            <a:t>Risk Mgmt</a:t>
          </a:r>
          <a:endParaRPr lang="en-US" dirty="0"/>
        </a:p>
      </dgm:t>
    </dgm:pt>
    <dgm:pt modelId="{B9790294-618D-4ECC-826B-E2885B40C713}" type="parTrans" cxnId="{06B29071-392B-455F-B6FE-4DD537670D27}">
      <dgm:prSet/>
      <dgm:spPr/>
      <dgm:t>
        <a:bodyPr/>
        <a:lstStyle/>
        <a:p>
          <a:endParaRPr lang="en-US"/>
        </a:p>
      </dgm:t>
    </dgm:pt>
    <dgm:pt modelId="{9F4B6A62-833D-410A-BFE0-0589AA9721C7}" type="sibTrans" cxnId="{06B29071-392B-455F-B6FE-4DD537670D27}">
      <dgm:prSet/>
      <dgm:spPr/>
      <dgm:t>
        <a:bodyPr/>
        <a:lstStyle/>
        <a:p>
          <a:endParaRPr lang="en-US"/>
        </a:p>
      </dgm:t>
    </dgm:pt>
    <dgm:pt modelId="{1E6CC110-7E98-4D6E-866F-F1D76D73F529}" type="pres">
      <dgm:prSet presAssocID="{E91F32F3-B4D2-4874-B7C8-B38898C3429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C035F02F-130B-4526-B8E1-EBEE23F5E756}" type="pres">
      <dgm:prSet presAssocID="{F79BF2BA-C12D-41F0-98AB-ECF0687C8930}" presName="hierRoot1" presStyleCnt="0">
        <dgm:presLayoutVars>
          <dgm:hierBranch val="init"/>
        </dgm:presLayoutVars>
      </dgm:prSet>
      <dgm:spPr/>
    </dgm:pt>
    <dgm:pt modelId="{47BE8FF0-8C79-4F27-B3E2-1AA358354832}" type="pres">
      <dgm:prSet presAssocID="{F79BF2BA-C12D-41F0-98AB-ECF0687C8930}" presName="rootComposite1" presStyleCnt="0"/>
      <dgm:spPr/>
    </dgm:pt>
    <dgm:pt modelId="{73D75FC9-4D0B-4F1C-9DAF-025710BC7780}" type="pres">
      <dgm:prSet presAssocID="{F79BF2BA-C12D-41F0-98AB-ECF0687C8930}" presName="rootText1" presStyleLbl="node0" presStyleIdx="0" presStyleCnt="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C013EB3-B4D3-4529-902A-AD72844806A5}" type="pres">
      <dgm:prSet presAssocID="{F79BF2BA-C12D-41F0-98AB-ECF0687C8930}" presName="rootConnector1" presStyleLbl="node1" presStyleIdx="0" presStyleCnt="0"/>
      <dgm:spPr/>
      <dgm:t>
        <a:bodyPr/>
        <a:lstStyle/>
        <a:p>
          <a:endParaRPr lang="en-US"/>
        </a:p>
      </dgm:t>
    </dgm:pt>
    <dgm:pt modelId="{FC88DCD2-EE25-4A7C-B113-4C0DE038DFC3}" type="pres">
      <dgm:prSet presAssocID="{F79BF2BA-C12D-41F0-98AB-ECF0687C8930}" presName="hierChild2" presStyleCnt="0"/>
      <dgm:spPr/>
    </dgm:pt>
    <dgm:pt modelId="{888DEA80-633D-4A41-962C-40328E175584}" type="pres">
      <dgm:prSet presAssocID="{FD244A27-16C9-4184-91E5-921C7737C3A4}" presName="Name37" presStyleLbl="parChTrans1D2" presStyleIdx="0" presStyleCnt="3"/>
      <dgm:spPr/>
      <dgm:t>
        <a:bodyPr/>
        <a:lstStyle/>
        <a:p>
          <a:endParaRPr lang="en-US"/>
        </a:p>
      </dgm:t>
    </dgm:pt>
    <dgm:pt modelId="{176741BD-D697-4776-886B-00AB96CA6F47}" type="pres">
      <dgm:prSet presAssocID="{4C56CC9F-0CFC-4191-B98C-D01C5D04FD77}" presName="hierRoot2" presStyleCnt="0">
        <dgm:presLayoutVars>
          <dgm:hierBranch val="init"/>
        </dgm:presLayoutVars>
      </dgm:prSet>
      <dgm:spPr/>
    </dgm:pt>
    <dgm:pt modelId="{673B6CAD-814D-4DDB-BC69-C05BD8A5E13A}" type="pres">
      <dgm:prSet presAssocID="{4C56CC9F-0CFC-4191-B98C-D01C5D04FD77}" presName="rootComposite" presStyleCnt="0"/>
      <dgm:spPr/>
    </dgm:pt>
    <dgm:pt modelId="{8AF25BAC-ACA9-4D18-8F24-F17D21F7278E}" type="pres">
      <dgm:prSet presAssocID="{4C56CC9F-0CFC-4191-B98C-D01C5D04FD77}" presName="rootText" presStyleLbl="node2" presStyleIdx="0" presStyleCnt="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A9BCEEC-BFD4-44F8-A47B-C443FDAFA94F}" type="pres">
      <dgm:prSet presAssocID="{4C56CC9F-0CFC-4191-B98C-D01C5D04FD77}" presName="rootConnector" presStyleLbl="node2" presStyleIdx="0" presStyleCnt="2"/>
      <dgm:spPr/>
      <dgm:t>
        <a:bodyPr/>
        <a:lstStyle/>
        <a:p>
          <a:endParaRPr lang="en-US"/>
        </a:p>
      </dgm:t>
    </dgm:pt>
    <dgm:pt modelId="{8B613D6F-A3C0-42B8-B707-3851C9911925}" type="pres">
      <dgm:prSet presAssocID="{4C56CC9F-0CFC-4191-B98C-D01C5D04FD77}" presName="hierChild4" presStyleCnt="0"/>
      <dgm:spPr/>
    </dgm:pt>
    <dgm:pt modelId="{5A092A9E-4884-4B0A-9BD8-4C23A37E2695}" type="pres">
      <dgm:prSet presAssocID="{4C56CC9F-0CFC-4191-B98C-D01C5D04FD77}" presName="hierChild5" presStyleCnt="0"/>
      <dgm:spPr/>
    </dgm:pt>
    <dgm:pt modelId="{8FD8BB2B-E817-456B-BC2C-6ABA570D34B2}" type="pres">
      <dgm:prSet presAssocID="{F24B68E4-F207-4331-AB2E-874EF6376E5A}" presName="Name37" presStyleLbl="parChTrans1D2" presStyleIdx="1" presStyleCnt="3"/>
      <dgm:spPr/>
      <dgm:t>
        <a:bodyPr/>
        <a:lstStyle/>
        <a:p>
          <a:endParaRPr lang="en-US"/>
        </a:p>
      </dgm:t>
    </dgm:pt>
    <dgm:pt modelId="{8359BC8A-F4E4-479E-BB7B-CDBBAD8A1571}" type="pres">
      <dgm:prSet presAssocID="{EE8A25CC-646E-4C3E-A390-0945F2BDB392}" presName="hierRoot2" presStyleCnt="0">
        <dgm:presLayoutVars>
          <dgm:hierBranch val="init"/>
        </dgm:presLayoutVars>
      </dgm:prSet>
      <dgm:spPr/>
    </dgm:pt>
    <dgm:pt modelId="{B8DA2E91-40EA-4357-9066-DF02F6F0D640}" type="pres">
      <dgm:prSet presAssocID="{EE8A25CC-646E-4C3E-A390-0945F2BDB392}" presName="rootComposite" presStyleCnt="0"/>
      <dgm:spPr/>
    </dgm:pt>
    <dgm:pt modelId="{3F56B7B4-3052-4B04-B64B-053E097390D2}" type="pres">
      <dgm:prSet presAssocID="{EE8A25CC-646E-4C3E-A390-0945F2BDB392}" presName="rootText" presStyleLbl="node2" presStyleIdx="1" presStyleCnt="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1D0F5EB-FA81-4C71-9EE2-9B02E7B657D0}" type="pres">
      <dgm:prSet presAssocID="{EE8A25CC-646E-4C3E-A390-0945F2BDB392}" presName="rootConnector" presStyleLbl="node2" presStyleIdx="1" presStyleCnt="2"/>
      <dgm:spPr/>
      <dgm:t>
        <a:bodyPr/>
        <a:lstStyle/>
        <a:p>
          <a:endParaRPr lang="en-US"/>
        </a:p>
      </dgm:t>
    </dgm:pt>
    <dgm:pt modelId="{CC512F7B-0B78-43DE-A5DC-F70D378F3571}" type="pres">
      <dgm:prSet presAssocID="{EE8A25CC-646E-4C3E-A390-0945F2BDB392}" presName="hierChild4" presStyleCnt="0"/>
      <dgm:spPr/>
    </dgm:pt>
    <dgm:pt modelId="{686F3B19-B76D-48BC-B83C-849E1E4EFD92}" type="pres">
      <dgm:prSet presAssocID="{EE8A25CC-646E-4C3E-A390-0945F2BDB392}" presName="hierChild5" presStyleCnt="0"/>
      <dgm:spPr/>
    </dgm:pt>
    <dgm:pt modelId="{E3D4090F-A76A-4060-BA3B-7C835CB9379A}" type="pres">
      <dgm:prSet presAssocID="{F79BF2BA-C12D-41F0-98AB-ECF0687C8930}" presName="hierChild3" presStyleCnt="0"/>
      <dgm:spPr/>
    </dgm:pt>
    <dgm:pt modelId="{BD861EA9-311F-4CDB-BDFC-06992A3B2CA6}" type="pres">
      <dgm:prSet presAssocID="{B9790294-618D-4ECC-826B-E2885B40C713}" presName="Name111" presStyleLbl="parChTrans1D2" presStyleIdx="2" presStyleCnt="3"/>
      <dgm:spPr/>
    </dgm:pt>
    <dgm:pt modelId="{3D92A9D3-EE65-4634-B6CE-C443A7448679}" type="pres">
      <dgm:prSet presAssocID="{819F243A-D3B6-4E91-AF5E-691A813F59DF}" presName="hierRoot3" presStyleCnt="0">
        <dgm:presLayoutVars>
          <dgm:hierBranch val="init"/>
        </dgm:presLayoutVars>
      </dgm:prSet>
      <dgm:spPr/>
    </dgm:pt>
    <dgm:pt modelId="{CEAAE285-3B97-41C2-803E-C61198CF9104}" type="pres">
      <dgm:prSet presAssocID="{819F243A-D3B6-4E91-AF5E-691A813F59DF}" presName="rootComposite3" presStyleCnt="0"/>
      <dgm:spPr/>
    </dgm:pt>
    <dgm:pt modelId="{326C18EF-807E-4A9E-BB0E-A3864A04107D}" type="pres">
      <dgm:prSet presAssocID="{819F243A-D3B6-4E91-AF5E-691A813F59DF}" presName="rootText3" presStyleLbl="asst1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730236B-0AF5-4182-A2BF-F59EA51678B1}" type="pres">
      <dgm:prSet presAssocID="{819F243A-D3B6-4E91-AF5E-691A813F59DF}" presName="rootConnector3" presStyleLbl="asst1" presStyleIdx="0" presStyleCnt="1"/>
      <dgm:spPr/>
    </dgm:pt>
    <dgm:pt modelId="{9393DBA6-F94F-4AC9-96BF-11A263832390}" type="pres">
      <dgm:prSet presAssocID="{819F243A-D3B6-4E91-AF5E-691A813F59DF}" presName="hierChild6" presStyleCnt="0"/>
      <dgm:spPr/>
    </dgm:pt>
    <dgm:pt modelId="{9AB49F9C-C601-4770-82E8-F69C15836211}" type="pres">
      <dgm:prSet presAssocID="{819F243A-D3B6-4E91-AF5E-691A813F59DF}" presName="hierChild7" presStyleCnt="0"/>
      <dgm:spPr/>
    </dgm:pt>
    <dgm:pt modelId="{5F759D41-7945-4121-8642-00D7D22F2DEA}" type="pres">
      <dgm:prSet presAssocID="{CD4A3225-006D-4542-B06E-2238A0DE6B7C}" presName="hierRoot1" presStyleCnt="0">
        <dgm:presLayoutVars>
          <dgm:hierBranch val="init"/>
        </dgm:presLayoutVars>
      </dgm:prSet>
      <dgm:spPr/>
    </dgm:pt>
    <dgm:pt modelId="{3D888A27-CE53-433A-A8FA-1284641F5181}" type="pres">
      <dgm:prSet presAssocID="{CD4A3225-006D-4542-B06E-2238A0DE6B7C}" presName="rootComposite1" presStyleCnt="0"/>
      <dgm:spPr/>
    </dgm:pt>
    <dgm:pt modelId="{BC4C0756-B432-4E51-AB1D-8A683B8825EC}" type="pres">
      <dgm:prSet presAssocID="{CD4A3225-006D-4542-B06E-2238A0DE6B7C}" presName="rootText1" presStyleLbl="node0" presStyleIdx="1" presStyleCnt="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188D21C-92E3-4AC1-BBBA-FA0498B84D73}" type="pres">
      <dgm:prSet presAssocID="{CD4A3225-006D-4542-B06E-2238A0DE6B7C}" presName="rootConnector1" presStyleLbl="node1" presStyleIdx="0" presStyleCnt="0"/>
      <dgm:spPr/>
      <dgm:t>
        <a:bodyPr/>
        <a:lstStyle/>
        <a:p>
          <a:endParaRPr lang="en-US"/>
        </a:p>
      </dgm:t>
    </dgm:pt>
    <dgm:pt modelId="{90B109F8-ACDF-4BEE-AA81-BD41929EA23A}" type="pres">
      <dgm:prSet presAssocID="{CD4A3225-006D-4542-B06E-2238A0DE6B7C}" presName="hierChild2" presStyleCnt="0"/>
      <dgm:spPr/>
    </dgm:pt>
    <dgm:pt modelId="{F6A431E9-18B3-4238-BCC4-C3BCF38AFF76}" type="pres">
      <dgm:prSet presAssocID="{CD4A3225-006D-4542-B06E-2238A0DE6B7C}" presName="hierChild3" presStyleCnt="0"/>
      <dgm:spPr/>
    </dgm:pt>
  </dgm:ptLst>
  <dgm:cxnLst>
    <dgm:cxn modelId="{06B29071-392B-455F-B6FE-4DD537670D27}" srcId="{F79BF2BA-C12D-41F0-98AB-ECF0687C8930}" destId="{819F243A-D3B6-4E91-AF5E-691A813F59DF}" srcOrd="2" destOrd="0" parTransId="{B9790294-618D-4ECC-826B-E2885B40C713}" sibTransId="{9F4B6A62-833D-410A-BFE0-0589AA9721C7}"/>
    <dgm:cxn modelId="{4A761667-AD16-4924-8990-C26FEAF32E50}" type="presOf" srcId="{4C56CC9F-0CFC-4191-B98C-D01C5D04FD77}" destId="{8AF25BAC-ACA9-4D18-8F24-F17D21F7278E}" srcOrd="0" destOrd="0" presId="urn:microsoft.com/office/officeart/2005/8/layout/orgChart1"/>
    <dgm:cxn modelId="{5455AA16-A42E-4F1E-B42B-2BCD519F7C5D}" type="presOf" srcId="{FD244A27-16C9-4184-91E5-921C7737C3A4}" destId="{888DEA80-633D-4A41-962C-40328E175584}" srcOrd="0" destOrd="0" presId="urn:microsoft.com/office/officeart/2005/8/layout/orgChart1"/>
    <dgm:cxn modelId="{B7BCE250-A52E-4969-8832-FCE7E074DA94}" type="presOf" srcId="{EE8A25CC-646E-4C3E-A390-0945F2BDB392}" destId="{3F56B7B4-3052-4B04-B64B-053E097390D2}" srcOrd="0" destOrd="0" presId="urn:microsoft.com/office/officeart/2005/8/layout/orgChart1"/>
    <dgm:cxn modelId="{A9FD64E2-868E-47A9-85B3-33D3CAD7C56A}" type="presOf" srcId="{EE8A25CC-646E-4C3E-A390-0945F2BDB392}" destId="{61D0F5EB-FA81-4C71-9EE2-9B02E7B657D0}" srcOrd="1" destOrd="0" presId="urn:microsoft.com/office/officeart/2005/8/layout/orgChart1"/>
    <dgm:cxn modelId="{679FF0E5-5728-4825-AFB3-24178B5E5703}" type="presOf" srcId="{819F243A-D3B6-4E91-AF5E-691A813F59DF}" destId="{326C18EF-807E-4A9E-BB0E-A3864A04107D}" srcOrd="0" destOrd="0" presId="urn:microsoft.com/office/officeart/2005/8/layout/orgChart1"/>
    <dgm:cxn modelId="{4961BDC5-724B-4CD5-B550-38AA49D4F23C}" srcId="{F79BF2BA-C12D-41F0-98AB-ECF0687C8930}" destId="{4C56CC9F-0CFC-4191-B98C-D01C5D04FD77}" srcOrd="0" destOrd="0" parTransId="{FD244A27-16C9-4184-91E5-921C7737C3A4}" sibTransId="{D8D65D54-A0CA-4F3D-BF9F-0D6998BAA758}"/>
    <dgm:cxn modelId="{7D12767F-1F85-4A68-A5EA-692214E31832}" srcId="{F79BF2BA-C12D-41F0-98AB-ECF0687C8930}" destId="{EE8A25CC-646E-4C3E-A390-0945F2BDB392}" srcOrd="1" destOrd="0" parTransId="{F24B68E4-F207-4331-AB2E-874EF6376E5A}" sibTransId="{C0963BE2-9AA3-4137-9EAC-5EB96AB269CB}"/>
    <dgm:cxn modelId="{23955F49-FB11-4B92-B7A7-EED9CEEE5367}" srcId="{E91F32F3-B4D2-4874-B7C8-B38898C3429E}" destId="{F79BF2BA-C12D-41F0-98AB-ECF0687C8930}" srcOrd="0" destOrd="0" parTransId="{5C706A80-9F77-435D-9A81-12AE85E9301B}" sibTransId="{C96AB820-3048-4232-AAB2-0139EC082F34}"/>
    <dgm:cxn modelId="{27FA029E-098A-48CC-AD7B-327E28479C76}" type="presOf" srcId="{F24B68E4-F207-4331-AB2E-874EF6376E5A}" destId="{8FD8BB2B-E817-456B-BC2C-6ABA570D34B2}" srcOrd="0" destOrd="0" presId="urn:microsoft.com/office/officeart/2005/8/layout/orgChart1"/>
    <dgm:cxn modelId="{9CDB1EAE-2D18-4952-A1B7-D53E05CE64A9}" type="presOf" srcId="{B9790294-618D-4ECC-826B-E2885B40C713}" destId="{BD861EA9-311F-4CDB-BDFC-06992A3B2CA6}" srcOrd="0" destOrd="0" presId="urn:microsoft.com/office/officeart/2005/8/layout/orgChart1"/>
    <dgm:cxn modelId="{69145F54-5A4D-493E-A4FE-C96742CE171F}" type="presOf" srcId="{4C56CC9F-0CFC-4191-B98C-D01C5D04FD77}" destId="{4A9BCEEC-BFD4-44F8-A47B-C443FDAFA94F}" srcOrd="1" destOrd="0" presId="urn:microsoft.com/office/officeart/2005/8/layout/orgChart1"/>
    <dgm:cxn modelId="{EE8A69F6-6A4A-47D5-BB35-5C052CC255FE}" type="presOf" srcId="{819F243A-D3B6-4E91-AF5E-691A813F59DF}" destId="{9730236B-0AF5-4182-A2BF-F59EA51678B1}" srcOrd="1" destOrd="0" presId="urn:microsoft.com/office/officeart/2005/8/layout/orgChart1"/>
    <dgm:cxn modelId="{E80C2B05-DD61-472D-BB38-D1C42AC173C2}" type="presOf" srcId="{E91F32F3-B4D2-4874-B7C8-B38898C3429E}" destId="{1E6CC110-7E98-4D6E-866F-F1D76D73F529}" srcOrd="0" destOrd="0" presId="urn:microsoft.com/office/officeart/2005/8/layout/orgChart1"/>
    <dgm:cxn modelId="{D16D6771-BF0B-460F-BC67-271464CD097B}" type="presOf" srcId="{F79BF2BA-C12D-41F0-98AB-ECF0687C8930}" destId="{8C013EB3-B4D3-4529-902A-AD72844806A5}" srcOrd="1" destOrd="0" presId="urn:microsoft.com/office/officeart/2005/8/layout/orgChart1"/>
    <dgm:cxn modelId="{23687972-105A-4C36-9370-9DB2055BE075}" type="presOf" srcId="{CD4A3225-006D-4542-B06E-2238A0DE6B7C}" destId="{BC4C0756-B432-4E51-AB1D-8A683B8825EC}" srcOrd="0" destOrd="0" presId="urn:microsoft.com/office/officeart/2005/8/layout/orgChart1"/>
    <dgm:cxn modelId="{58CEC936-0E42-4D4A-A7AC-7C2853F5E9CE}" type="presOf" srcId="{CD4A3225-006D-4542-B06E-2238A0DE6B7C}" destId="{A188D21C-92E3-4AC1-BBBA-FA0498B84D73}" srcOrd="1" destOrd="0" presId="urn:microsoft.com/office/officeart/2005/8/layout/orgChart1"/>
    <dgm:cxn modelId="{8B8316E3-C488-44AA-8207-C2C2F9C8D7E3}" type="presOf" srcId="{F79BF2BA-C12D-41F0-98AB-ECF0687C8930}" destId="{73D75FC9-4D0B-4F1C-9DAF-025710BC7780}" srcOrd="0" destOrd="0" presId="urn:microsoft.com/office/officeart/2005/8/layout/orgChart1"/>
    <dgm:cxn modelId="{4B7FC525-321D-45C1-AFC6-FABC21317025}" srcId="{E91F32F3-B4D2-4874-B7C8-B38898C3429E}" destId="{CD4A3225-006D-4542-B06E-2238A0DE6B7C}" srcOrd="1" destOrd="0" parTransId="{FF7A74B8-34FF-4356-9BA9-9E7408DE5F79}" sibTransId="{6B33B7A5-2385-4A27-B778-BEC5E47D1336}"/>
    <dgm:cxn modelId="{E46154BD-36B9-4EA4-893D-2FFA45E2C50D}" type="presParOf" srcId="{1E6CC110-7E98-4D6E-866F-F1D76D73F529}" destId="{C035F02F-130B-4526-B8E1-EBEE23F5E756}" srcOrd="0" destOrd="0" presId="urn:microsoft.com/office/officeart/2005/8/layout/orgChart1"/>
    <dgm:cxn modelId="{2104D806-AB15-467F-965D-8AD0128ECCB0}" type="presParOf" srcId="{C035F02F-130B-4526-B8E1-EBEE23F5E756}" destId="{47BE8FF0-8C79-4F27-B3E2-1AA358354832}" srcOrd="0" destOrd="0" presId="urn:microsoft.com/office/officeart/2005/8/layout/orgChart1"/>
    <dgm:cxn modelId="{BE951806-9A6E-42E2-BA02-15FE7B420B92}" type="presParOf" srcId="{47BE8FF0-8C79-4F27-B3E2-1AA358354832}" destId="{73D75FC9-4D0B-4F1C-9DAF-025710BC7780}" srcOrd="0" destOrd="0" presId="urn:microsoft.com/office/officeart/2005/8/layout/orgChart1"/>
    <dgm:cxn modelId="{51EC72F1-56EC-4C7B-810B-04347E69C412}" type="presParOf" srcId="{47BE8FF0-8C79-4F27-B3E2-1AA358354832}" destId="{8C013EB3-B4D3-4529-902A-AD72844806A5}" srcOrd="1" destOrd="0" presId="urn:microsoft.com/office/officeart/2005/8/layout/orgChart1"/>
    <dgm:cxn modelId="{D3F435F9-F978-422C-8340-BF1B2646EAAA}" type="presParOf" srcId="{C035F02F-130B-4526-B8E1-EBEE23F5E756}" destId="{FC88DCD2-EE25-4A7C-B113-4C0DE038DFC3}" srcOrd="1" destOrd="0" presId="urn:microsoft.com/office/officeart/2005/8/layout/orgChart1"/>
    <dgm:cxn modelId="{C6470D6C-CE96-4BCC-A778-A322E6D88265}" type="presParOf" srcId="{FC88DCD2-EE25-4A7C-B113-4C0DE038DFC3}" destId="{888DEA80-633D-4A41-962C-40328E175584}" srcOrd="0" destOrd="0" presId="urn:microsoft.com/office/officeart/2005/8/layout/orgChart1"/>
    <dgm:cxn modelId="{407EA99F-D4FA-4DC9-9B06-C6AEF5A5B1A1}" type="presParOf" srcId="{FC88DCD2-EE25-4A7C-B113-4C0DE038DFC3}" destId="{176741BD-D697-4776-886B-00AB96CA6F47}" srcOrd="1" destOrd="0" presId="urn:microsoft.com/office/officeart/2005/8/layout/orgChart1"/>
    <dgm:cxn modelId="{8F705CA2-A966-4D31-828E-0B802DE65725}" type="presParOf" srcId="{176741BD-D697-4776-886B-00AB96CA6F47}" destId="{673B6CAD-814D-4DDB-BC69-C05BD8A5E13A}" srcOrd="0" destOrd="0" presId="urn:microsoft.com/office/officeart/2005/8/layout/orgChart1"/>
    <dgm:cxn modelId="{1F2B4077-419F-491B-B376-019741187204}" type="presParOf" srcId="{673B6CAD-814D-4DDB-BC69-C05BD8A5E13A}" destId="{8AF25BAC-ACA9-4D18-8F24-F17D21F7278E}" srcOrd="0" destOrd="0" presId="urn:microsoft.com/office/officeart/2005/8/layout/orgChart1"/>
    <dgm:cxn modelId="{A6188B4E-9C7D-469C-AA05-6F58DB87A0BC}" type="presParOf" srcId="{673B6CAD-814D-4DDB-BC69-C05BD8A5E13A}" destId="{4A9BCEEC-BFD4-44F8-A47B-C443FDAFA94F}" srcOrd="1" destOrd="0" presId="urn:microsoft.com/office/officeart/2005/8/layout/orgChart1"/>
    <dgm:cxn modelId="{38FFB877-68C9-44E5-90B0-6BFA67090012}" type="presParOf" srcId="{176741BD-D697-4776-886B-00AB96CA6F47}" destId="{8B613D6F-A3C0-42B8-B707-3851C9911925}" srcOrd="1" destOrd="0" presId="urn:microsoft.com/office/officeart/2005/8/layout/orgChart1"/>
    <dgm:cxn modelId="{30649ADD-8069-40A7-B12C-FB9DD025746F}" type="presParOf" srcId="{176741BD-D697-4776-886B-00AB96CA6F47}" destId="{5A092A9E-4884-4B0A-9BD8-4C23A37E2695}" srcOrd="2" destOrd="0" presId="urn:microsoft.com/office/officeart/2005/8/layout/orgChart1"/>
    <dgm:cxn modelId="{29901157-CB09-4CA6-B8A0-BF2BCEC35391}" type="presParOf" srcId="{FC88DCD2-EE25-4A7C-B113-4C0DE038DFC3}" destId="{8FD8BB2B-E817-456B-BC2C-6ABA570D34B2}" srcOrd="2" destOrd="0" presId="urn:microsoft.com/office/officeart/2005/8/layout/orgChart1"/>
    <dgm:cxn modelId="{9BF52E0D-95CA-49EE-AE9B-9110E6415275}" type="presParOf" srcId="{FC88DCD2-EE25-4A7C-B113-4C0DE038DFC3}" destId="{8359BC8A-F4E4-479E-BB7B-CDBBAD8A1571}" srcOrd="3" destOrd="0" presId="urn:microsoft.com/office/officeart/2005/8/layout/orgChart1"/>
    <dgm:cxn modelId="{591EC8DC-0A55-4387-BA88-45E2353C13BD}" type="presParOf" srcId="{8359BC8A-F4E4-479E-BB7B-CDBBAD8A1571}" destId="{B8DA2E91-40EA-4357-9066-DF02F6F0D640}" srcOrd="0" destOrd="0" presId="urn:microsoft.com/office/officeart/2005/8/layout/orgChart1"/>
    <dgm:cxn modelId="{F63FA7CF-6CB9-4D63-86FA-32F976CFCA45}" type="presParOf" srcId="{B8DA2E91-40EA-4357-9066-DF02F6F0D640}" destId="{3F56B7B4-3052-4B04-B64B-053E097390D2}" srcOrd="0" destOrd="0" presId="urn:microsoft.com/office/officeart/2005/8/layout/orgChart1"/>
    <dgm:cxn modelId="{0DD836B6-64EE-4051-9A60-38E6C62CDF4D}" type="presParOf" srcId="{B8DA2E91-40EA-4357-9066-DF02F6F0D640}" destId="{61D0F5EB-FA81-4C71-9EE2-9B02E7B657D0}" srcOrd="1" destOrd="0" presId="urn:microsoft.com/office/officeart/2005/8/layout/orgChart1"/>
    <dgm:cxn modelId="{C84B8199-AA92-4DF3-BE53-5B4049B2875E}" type="presParOf" srcId="{8359BC8A-F4E4-479E-BB7B-CDBBAD8A1571}" destId="{CC512F7B-0B78-43DE-A5DC-F70D378F3571}" srcOrd="1" destOrd="0" presId="urn:microsoft.com/office/officeart/2005/8/layout/orgChart1"/>
    <dgm:cxn modelId="{1B9A340F-A352-44C3-90CD-9F181CA4F930}" type="presParOf" srcId="{8359BC8A-F4E4-479E-BB7B-CDBBAD8A1571}" destId="{686F3B19-B76D-48BC-B83C-849E1E4EFD92}" srcOrd="2" destOrd="0" presId="urn:microsoft.com/office/officeart/2005/8/layout/orgChart1"/>
    <dgm:cxn modelId="{74C65238-4EF9-4BD6-90F4-72BE7F74FC01}" type="presParOf" srcId="{C035F02F-130B-4526-B8E1-EBEE23F5E756}" destId="{E3D4090F-A76A-4060-BA3B-7C835CB9379A}" srcOrd="2" destOrd="0" presId="urn:microsoft.com/office/officeart/2005/8/layout/orgChart1"/>
    <dgm:cxn modelId="{5DB138BA-DCD4-4670-89FB-8CCC983337FE}" type="presParOf" srcId="{E3D4090F-A76A-4060-BA3B-7C835CB9379A}" destId="{BD861EA9-311F-4CDB-BDFC-06992A3B2CA6}" srcOrd="0" destOrd="0" presId="urn:microsoft.com/office/officeart/2005/8/layout/orgChart1"/>
    <dgm:cxn modelId="{F20782C2-95BA-4883-88BE-766B7085DD87}" type="presParOf" srcId="{E3D4090F-A76A-4060-BA3B-7C835CB9379A}" destId="{3D92A9D3-EE65-4634-B6CE-C443A7448679}" srcOrd="1" destOrd="0" presId="urn:microsoft.com/office/officeart/2005/8/layout/orgChart1"/>
    <dgm:cxn modelId="{C7D8A415-0A72-4BFA-A08B-44FA3FEE273D}" type="presParOf" srcId="{3D92A9D3-EE65-4634-B6CE-C443A7448679}" destId="{CEAAE285-3B97-41C2-803E-C61198CF9104}" srcOrd="0" destOrd="0" presId="urn:microsoft.com/office/officeart/2005/8/layout/orgChart1"/>
    <dgm:cxn modelId="{ABF75353-3827-458A-B355-4EBE9A94FB39}" type="presParOf" srcId="{CEAAE285-3B97-41C2-803E-C61198CF9104}" destId="{326C18EF-807E-4A9E-BB0E-A3864A04107D}" srcOrd="0" destOrd="0" presId="urn:microsoft.com/office/officeart/2005/8/layout/orgChart1"/>
    <dgm:cxn modelId="{B32B44D6-A019-455D-8D1C-315BCA89BFF0}" type="presParOf" srcId="{CEAAE285-3B97-41C2-803E-C61198CF9104}" destId="{9730236B-0AF5-4182-A2BF-F59EA51678B1}" srcOrd="1" destOrd="0" presId="urn:microsoft.com/office/officeart/2005/8/layout/orgChart1"/>
    <dgm:cxn modelId="{5A19BCC9-7B6C-42B9-969B-66090F6D7321}" type="presParOf" srcId="{3D92A9D3-EE65-4634-B6CE-C443A7448679}" destId="{9393DBA6-F94F-4AC9-96BF-11A263832390}" srcOrd="1" destOrd="0" presId="urn:microsoft.com/office/officeart/2005/8/layout/orgChart1"/>
    <dgm:cxn modelId="{930A3914-2FA3-48F4-8189-FD6B43E9DEB9}" type="presParOf" srcId="{3D92A9D3-EE65-4634-B6CE-C443A7448679}" destId="{9AB49F9C-C601-4770-82E8-F69C15836211}" srcOrd="2" destOrd="0" presId="urn:microsoft.com/office/officeart/2005/8/layout/orgChart1"/>
    <dgm:cxn modelId="{23F5DDB2-DA17-4E9A-B5C3-6C13F1699E7B}" type="presParOf" srcId="{1E6CC110-7E98-4D6E-866F-F1D76D73F529}" destId="{5F759D41-7945-4121-8642-00D7D22F2DEA}" srcOrd="1" destOrd="0" presId="urn:microsoft.com/office/officeart/2005/8/layout/orgChart1"/>
    <dgm:cxn modelId="{83B342C4-C759-44C4-A9AA-90C3B4ADC36B}" type="presParOf" srcId="{5F759D41-7945-4121-8642-00D7D22F2DEA}" destId="{3D888A27-CE53-433A-A8FA-1284641F5181}" srcOrd="0" destOrd="0" presId="urn:microsoft.com/office/officeart/2005/8/layout/orgChart1"/>
    <dgm:cxn modelId="{C6AEDC3F-17FE-4B70-856F-162552C79E9D}" type="presParOf" srcId="{3D888A27-CE53-433A-A8FA-1284641F5181}" destId="{BC4C0756-B432-4E51-AB1D-8A683B8825EC}" srcOrd="0" destOrd="0" presId="urn:microsoft.com/office/officeart/2005/8/layout/orgChart1"/>
    <dgm:cxn modelId="{DACF0F5D-1015-44D7-B453-4CF04E5119FF}" type="presParOf" srcId="{3D888A27-CE53-433A-A8FA-1284641F5181}" destId="{A188D21C-92E3-4AC1-BBBA-FA0498B84D73}" srcOrd="1" destOrd="0" presId="urn:microsoft.com/office/officeart/2005/8/layout/orgChart1"/>
    <dgm:cxn modelId="{622D8E73-B3BB-4BD8-A8BB-54A735D30B4F}" type="presParOf" srcId="{5F759D41-7945-4121-8642-00D7D22F2DEA}" destId="{90B109F8-ACDF-4BEE-AA81-BD41929EA23A}" srcOrd="1" destOrd="0" presId="urn:microsoft.com/office/officeart/2005/8/layout/orgChart1"/>
    <dgm:cxn modelId="{D91C377E-51B1-4B0F-B271-4506A7C68DB5}" type="presParOf" srcId="{5F759D41-7945-4121-8642-00D7D22F2DEA}" destId="{F6A431E9-18B3-4238-BCC4-C3BCF38AFF76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6" minVer="http://schemas.openxmlformats.org/drawingml/2006/diagram"/>
    </a:ext>
  </dgm:extLst>
</dgm:dataModel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2026-05-26T10:52:47Z</dcterms:created>
  <dc:creator>Un-named</dc:creator>
  <dc:description/>
  <dc:language>en-US</dc:language>
  <cp:lastModifiedBy>Un-named</cp:lastModifiedBy>
  <dcterms:modified xsi:type="dcterms:W3CDTF">2026-05-26T10:52:47Z</dcterms:modified>
  <cp:revision>1</cp:revision>
  <dc:subject/>
  <dc:title/>
</cp:coreProperties>
</file>