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AgroShield AI</w:t>
      </w:r>
    </w:p>
    <w:p>
      <w:pPr>
        <w:spacing w:after="300"/>
        <w:jc w:val="center"/>
      </w:pPr>
      <w:r>
        <w:rPr>
          <w:b/>
          <w:bCs/>
          <w:color w:val="2E7D32"/>
          <w:sz w:val="32"/>
          <w:szCs w:val="32"/>
        </w:rPr>
        <w:t xml:space="preserve">Technology Integration, Feasibility &amp; Implementation Report</w:t>
      </w:r>
    </w:p>
    <w:p>
      <w:pPr>
        <w:spacing w:after="600"/>
        <w:jc w:val="center"/>
      </w:pPr>
      <w:r>
        <w:rPr>
          <w:i/>
          <w:iCs/>
          <w:color w:val="595959"/>
          <w:sz w:val="24"/>
          <w:szCs w:val="24"/>
        </w:rPr>
        <w:t xml:space="preserve">A Multi-Disciplinary Engineering Analysis — AI Systems Engineering, Embedded Systems, Chemistry, Climate Science &amp; Nanotechnology Perspectives</w:t>
      </w:r>
    </w:p>
    <w:p>
      <w:pPr>
        <w:spacing w:after="120"/>
        <w:jc w:val="center"/>
      </w:pPr>
      <w:r>
        <w:rPr>
          <w:sz w:val="22"/>
          <w:szCs w:val="22"/>
        </w:rPr>
        <w:t xml:space="preserve">Prepared for: Grameenphone Future Makers — AI for Social Good Track</w:t>
      </w:r>
    </w:p>
    <w:p>
      <w:pPr>
        <w:spacing w:after="120"/>
        <w:jc w:val="center"/>
      </w:pPr>
      <w:r>
        <w:rPr>
          <w:sz w:val="22"/>
          <w:szCs w:val="22"/>
        </w:rPr>
        <w:t xml:space="preserve">Focus: Environmental Sustainability &amp; Climate-Resilient Agriculture, Bangladesh</w:t>
      </w:r>
    </w:p>
    <w:p>
      <w:pPr>
        <w:spacing w:after="2000"/>
        <w:jc w:val="center"/>
      </w:pPr>
      <w:r>
        <w:rPr>
          <w:color w:val="595959"/>
          <w:sz w:val="22"/>
          <w:szCs w:val="22"/>
        </w:rPr>
        <w:t xml:space="preserve">September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60" w:line="300"/>
        <w:jc w:val="both"/>
      </w:pPr>
      <w:r>
        <w:t xml:space="preserve">AgroShield AI proposes a climate-resilient farming intelligence platform for Bangladesh that fuses satellite remote sensing, low-cost IoT soil/water sensing, meteorological data, and an AI decision-fusion engine into farmer-facing recommendations delivered through a Bengali-language mobile app, SMS, and voice assistant. This report analyzes the project across six lenses — AI/software engineering, systems architecture, embedded/IoT engineering, soil chemistry, weather/climate science, and nanotechnology — and evaluates it on cost, sustainability, feasibility, technical practicality, data availability, and ease of implementation.</w:t>
      </w:r>
    </w:p>
    <w:p>
      <w:pPr>
        <w:spacing w:after="160" w:line="300"/>
        <w:jc w:val="both"/>
      </w:pPr>
      <w:r>
        <w:t xml:space="preserve">Overall finding: the project is technically feasible and well-aligned to a phased, low-cost rollout. The highest-confidence components (satellite-derived flood/vegetation indices, weather-driven advisories, and an SMS/voice delivery layer) can be built almost entirely from free public data in Phase 1. The higher-risk components (dense soil-chemistry sensing, nanomaterial sensors, hyper-local drought/salinity forecasting) require hardware capital, calibration against ground-truth labs, and multi-year data accumulation before they reach reliable accuracy. A shared community-hub model (10–20 farmers per station) is the correct cost lever: it is the difference between an unaffordable per-farmer sensor cost and a viable one.</w:t>
      </w:r>
    </w:p>
    <w:p>
      <w:pPr>
        <w:pStyle w:val="Heading1"/>
        <w:spacing w:after="160" w:before="360"/>
      </w:pPr>
      <w:r>
        <w:t xml:space="preserve">2. Introduction &amp; Methodology</w:t>
      </w:r>
    </w:p>
    <w:p>
      <w:pPr>
        <w:spacing w:after="160" w:line="300"/>
        <w:jc w:val="both"/>
      </w:pPr>
      <w:r>
        <w:t xml:space="preserve">Bangladesh's agriculture is exposed to coastal soil salinity, riverine flooding, northern drought, extreme rainfall, and soil degradation, while smartphone and mobile-money penetration have grown rapidly enough to support a digital advisory service reaching smallholders directly. AgroShield AI's architecture — a data acquisition layer, an AI intelligence platform of specialist models (salinity, chemical, water/flood, drought, weather-crop), a fusion/decision engine, and a farmer-facing delivery layer — is used as the baseline for this analysis.</w:t>
      </w:r>
    </w:p>
    <w:p>
      <w:pPr>
        <w:spacing w:after="160" w:line="300"/>
        <w:jc w:val="both"/>
      </w:pPr>
      <w:r>
        <w:t xml:space="preserve">This report role-plays four technical perspectives simultaneously — AI engineer, systems/software engineer, embedded systems engineer, and a chemistry/weather/nanotechnology researcher — to stress-test every layer of the stack for real-world buildability rather than only conceptual completeness.</w:t>
      </w:r>
    </w:p>
    <w:p>
      <w:pPr>
        <w:pStyle w:val="Heading1"/>
        <w:spacing w:after="160" w:before="360"/>
      </w:pPr>
      <w:r>
        <w:t xml:space="preserve">3. Integrated Technology Stack Overview</w:t>
      </w:r>
    </w:p>
    <w:p>
      <w:pPr>
        <w:spacing w:after="160" w:line="300"/>
        <w:jc w:val="both"/>
      </w:pPr>
      <w:r>
        <w:t xml:space="preserve">The platform is best understood as five stacked layers, each owned by a different engineering discipline: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000"/>
        <w:gridCol w:w="1900"/>
      </w:tblGrid>
      <w:tr>
        <w:trPr>
          <w:tblHeader/>
        </w:trPr>
        <w:tc>
          <w:tcPr>
            <w:tcW w:type="dxa" w:w="1600"/>
            <w:shd w:fill="1F3864" w:val="clear"/>
            <w:tcMar>
              <w:top w:type="dxa" w:w="80"/>
              <w:left w:type="dxa" w:w="100"/>
              <w:bottom w:type="dxa" w:w="80"/>
              <w:right w:type="dxa" w:w="100"/>
            </w:tcMar>
          </w:tcPr>
          <w:p>
            <w:r>
              <w:rPr>
                <w:b/>
                <w:bCs/>
                <w:color w:val="FFFFFF"/>
                <w:sz w:val="20"/>
                <w:szCs w:val="20"/>
              </w:rPr>
              <w:t xml:space="preserve">Layer</w:t>
            </w:r>
          </w:p>
        </w:tc>
        <w:tc>
          <w:tcPr>
            <w:tcW w:type="dxa" w:w="3000"/>
            <w:shd w:fill="1F3864" w:val="clear"/>
            <w:tcMar>
              <w:top w:type="dxa" w:w="80"/>
              <w:left w:type="dxa" w:w="100"/>
              <w:bottom w:type="dxa" w:w="80"/>
              <w:right w:type="dxa" w:w="100"/>
            </w:tcMar>
          </w:tcPr>
          <w:p>
            <w:r>
              <w:rPr>
                <w:b/>
                <w:bCs/>
                <w:color w:val="FFFFFF"/>
                <w:sz w:val="20"/>
                <w:szCs w:val="20"/>
              </w:rPr>
              <w:t xml:space="preserve">Core Technology</w:t>
            </w:r>
          </w:p>
        </w:tc>
        <w:tc>
          <w:tcPr>
            <w:tcW w:type="dxa" w:w="3000"/>
            <w:shd w:fill="1F3864" w:val="clear"/>
            <w:tcMar>
              <w:top w:type="dxa" w:w="80"/>
              <w:left w:type="dxa" w:w="100"/>
              <w:bottom w:type="dxa" w:w="80"/>
              <w:right w:type="dxa" w:w="100"/>
            </w:tcMar>
          </w:tcPr>
          <w:p>
            <w:r>
              <w:rPr>
                <w:b/>
                <w:bCs/>
                <w:color w:val="FFFFFF"/>
                <w:sz w:val="20"/>
                <w:szCs w:val="20"/>
              </w:rPr>
              <w:t xml:space="preserve">Primary Function</w:t>
            </w:r>
          </w:p>
        </w:tc>
        <w:tc>
          <w:tcPr>
            <w:tcW w:type="dxa" w:w="1900"/>
            <w:shd w:fill="1F3864" w:val="clear"/>
            <w:tcMar>
              <w:top w:type="dxa" w:w="80"/>
              <w:left w:type="dxa" w:w="100"/>
              <w:bottom w:type="dxa" w:w="80"/>
              <w:right w:type="dxa" w:w="100"/>
            </w:tcMar>
          </w:tcPr>
          <w:p>
            <w:r>
              <w:rPr>
                <w:b/>
                <w:bCs/>
                <w:color w:val="FFFFFF"/>
                <w:sz w:val="20"/>
                <w:szCs w:val="20"/>
              </w:rPr>
              <w:t xml:space="preserve">Owning Discipline</w:t>
            </w:r>
          </w:p>
        </w:tc>
      </w:tr>
      <w:tr>
        <w:tc>
          <w:tcPr>
            <w:tcW w:type="dxa" w:w="1600"/>
            <w:tcMar>
              <w:top w:type="dxa" w:w="80"/>
              <w:left w:type="dxa" w:w="100"/>
              <w:bottom w:type="dxa" w:w="80"/>
              <w:right w:type="dxa" w:w="100"/>
            </w:tcMar>
          </w:tcPr>
          <w:p>
            <w:r>
              <w:rPr>
                <w:b w:val="false"/>
                <w:bCs w:val="false"/>
                <w:color w:val="000000"/>
                <w:sz w:val="20"/>
                <w:szCs w:val="20"/>
              </w:rPr>
              <w:t xml:space="preserve">Sensing</w:t>
            </w:r>
          </w:p>
        </w:tc>
        <w:tc>
          <w:tcPr>
            <w:tcW w:type="dxa" w:w="3000"/>
            <w:tcMar>
              <w:top w:type="dxa" w:w="80"/>
              <w:left w:type="dxa" w:w="100"/>
              <w:bottom w:type="dxa" w:w="80"/>
              <w:right w:type="dxa" w:w="100"/>
            </w:tcMar>
          </w:tcPr>
          <w:p>
            <w:r>
              <w:rPr>
                <w:b w:val="false"/>
                <w:bCs w:val="false"/>
                <w:color w:val="000000"/>
                <w:sz w:val="20"/>
                <w:szCs w:val="20"/>
              </w:rPr>
              <w:t xml:space="preserve">IoT soil/water probes, satellite feeds, weather stations</w:t>
            </w:r>
          </w:p>
        </w:tc>
        <w:tc>
          <w:tcPr>
            <w:tcW w:type="dxa" w:w="3000"/>
            <w:tcMar>
              <w:top w:type="dxa" w:w="80"/>
              <w:left w:type="dxa" w:w="100"/>
              <w:bottom w:type="dxa" w:w="80"/>
              <w:right w:type="dxa" w:w="100"/>
            </w:tcMar>
          </w:tcPr>
          <w:p>
            <w:r>
              <w:rPr>
                <w:b w:val="false"/>
                <w:bCs w:val="false"/>
                <w:color w:val="000000"/>
                <w:sz w:val="20"/>
                <w:szCs w:val="20"/>
              </w:rPr>
              <w:t xml:space="preserve">Raw environmental signal capture</w:t>
            </w:r>
          </w:p>
        </w:tc>
        <w:tc>
          <w:tcPr>
            <w:tcW w:type="dxa" w:w="1900"/>
            <w:tcMar>
              <w:top w:type="dxa" w:w="80"/>
              <w:left w:type="dxa" w:w="100"/>
              <w:bottom w:type="dxa" w:w="80"/>
              <w:right w:type="dxa" w:w="100"/>
            </w:tcMar>
          </w:tcPr>
          <w:p>
            <w:r>
              <w:rPr>
                <w:b w:val="false"/>
                <w:bCs w:val="false"/>
                <w:color w:val="000000"/>
                <w:sz w:val="20"/>
                <w:szCs w:val="20"/>
              </w:rPr>
              <w:t xml:space="preserve">Embedded systems + chemistry</w:t>
            </w:r>
          </w:p>
        </w:tc>
      </w:tr>
      <w:tr>
        <w:tc>
          <w:tcPr>
            <w:tcW w:type="dxa" w:w="1600"/>
            <w:tcMar>
              <w:top w:type="dxa" w:w="80"/>
              <w:left w:type="dxa" w:w="100"/>
              <w:bottom w:type="dxa" w:w="80"/>
              <w:right w:type="dxa" w:w="100"/>
            </w:tcMar>
          </w:tcPr>
          <w:p>
            <w:r>
              <w:rPr>
                <w:b w:val="false"/>
                <w:bCs w:val="false"/>
                <w:color w:val="000000"/>
                <w:sz w:val="20"/>
                <w:szCs w:val="20"/>
              </w:rPr>
              <w:t xml:space="preserve">Connectivity</w:t>
            </w:r>
          </w:p>
        </w:tc>
        <w:tc>
          <w:tcPr>
            <w:tcW w:type="dxa" w:w="3000"/>
            <w:tcMar>
              <w:top w:type="dxa" w:w="80"/>
              <w:left w:type="dxa" w:w="100"/>
              <w:bottom w:type="dxa" w:w="80"/>
              <w:right w:type="dxa" w:w="100"/>
            </w:tcMar>
          </w:tcPr>
          <w:p>
            <w:r>
              <w:rPr>
                <w:b w:val="false"/>
                <w:bCs w:val="false"/>
                <w:color w:val="000000"/>
                <w:sz w:val="20"/>
                <w:szCs w:val="20"/>
              </w:rPr>
              <w:t xml:space="preserve">LoRaWAN, GSM/SMS, 4G gateway, MQTT</w:t>
            </w:r>
          </w:p>
        </w:tc>
        <w:tc>
          <w:tcPr>
            <w:tcW w:type="dxa" w:w="3000"/>
            <w:tcMar>
              <w:top w:type="dxa" w:w="80"/>
              <w:left w:type="dxa" w:w="100"/>
              <w:bottom w:type="dxa" w:w="80"/>
              <w:right w:type="dxa" w:w="100"/>
            </w:tcMar>
          </w:tcPr>
          <w:p>
            <w:r>
              <w:rPr>
                <w:b w:val="false"/>
                <w:bCs w:val="false"/>
                <w:color w:val="000000"/>
                <w:sz w:val="20"/>
                <w:szCs w:val="20"/>
              </w:rPr>
              <w:t xml:space="preserve">Move sensor data to the cloud reliably &amp; cheaply</w:t>
            </w:r>
          </w:p>
        </w:tc>
        <w:tc>
          <w:tcPr>
            <w:tcW w:type="dxa" w:w="1900"/>
            <w:tcMar>
              <w:top w:type="dxa" w:w="80"/>
              <w:left w:type="dxa" w:w="100"/>
              <w:bottom w:type="dxa" w:w="80"/>
              <w:right w:type="dxa" w:w="100"/>
            </w:tcMar>
          </w:tcPr>
          <w:p>
            <w:r>
              <w:rPr>
                <w:b w:val="false"/>
                <w:bCs w:val="false"/>
                <w:color w:val="000000"/>
                <w:sz w:val="20"/>
                <w:szCs w:val="20"/>
              </w:rPr>
              <w:t xml:space="preserve">Embedded/systems engineering</w:t>
            </w:r>
          </w:p>
        </w:tc>
      </w:tr>
      <w:tr>
        <w:tc>
          <w:tcPr>
            <w:tcW w:type="dxa" w:w="1600"/>
            <w:tcMar>
              <w:top w:type="dxa" w:w="80"/>
              <w:left w:type="dxa" w:w="100"/>
              <w:bottom w:type="dxa" w:w="80"/>
              <w:right w:type="dxa" w:w="100"/>
            </w:tcMar>
          </w:tcPr>
          <w:p>
            <w:r>
              <w:rPr>
                <w:b w:val="false"/>
                <w:bCs w:val="false"/>
                <w:color w:val="000000"/>
                <w:sz w:val="20"/>
                <w:szCs w:val="20"/>
              </w:rPr>
              <w:t xml:space="preserve">Data platform</w:t>
            </w:r>
          </w:p>
        </w:tc>
        <w:tc>
          <w:tcPr>
            <w:tcW w:type="dxa" w:w="3000"/>
            <w:tcMar>
              <w:top w:type="dxa" w:w="80"/>
              <w:left w:type="dxa" w:w="100"/>
              <w:bottom w:type="dxa" w:w="80"/>
              <w:right w:type="dxa" w:w="100"/>
            </w:tcMar>
          </w:tcPr>
          <w:p>
            <w:r>
              <w:rPr>
                <w:b w:val="false"/>
                <w:bCs w:val="false"/>
                <w:color w:val="000000"/>
                <w:sz w:val="20"/>
                <w:szCs w:val="20"/>
              </w:rPr>
              <w:t xml:space="preserve">PostgreSQL + PostGIS, TimescaleDB, object storage</w:t>
            </w:r>
          </w:p>
        </w:tc>
        <w:tc>
          <w:tcPr>
            <w:tcW w:type="dxa" w:w="3000"/>
            <w:tcMar>
              <w:top w:type="dxa" w:w="80"/>
              <w:left w:type="dxa" w:w="100"/>
              <w:bottom w:type="dxa" w:w="80"/>
              <w:right w:type="dxa" w:w="100"/>
            </w:tcMar>
          </w:tcPr>
          <w:p>
            <w:r>
              <w:rPr>
                <w:b w:val="false"/>
                <w:bCs w:val="false"/>
                <w:color w:val="000000"/>
                <w:sz w:val="20"/>
                <w:szCs w:val="20"/>
              </w:rPr>
              <w:t xml:space="preserve">Store, index, time-series &amp; geospatial data</w:t>
            </w:r>
          </w:p>
        </w:tc>
        <w:tc>
          <w:tcPr>
            <w:tcW w:type="dxa" w:w="1900"/>
            <w:tcMar>
              <w:top w:type="dxa" w:w="80"/>
              <w:left w:type="dxa" w:w="100"/>
              <w:bottom w:type="dxa" w:w="80"/>
              <w:right w:type="dxa" w:w="100"/>
            </w:tcMar>
          </w:tcPr>
          <w:p>
            <w:r>
              <w:rPr>
                <w:b w:val="false"/>
                <w:bCs w:val="false"/>
                <w:color w:val="000000"/>
                <w:sz w:val="20"/>
                <w:szCs w:val="20"/>
              </w:rPr>
              <w:t xml:space="preserve">Systems engineering</w:t>
            </w:r>
          </w:p>
        </w:tc>
      </w:tr>
      <w:tr>
        <w:tc>
          <w:tcPr>
            <w:tcW w:type="dxa" w:w="1600"/>
            <w:tcMar>
              <w:top w:type="dxa" w:w="80"/>
              <w:left w:type="dxa" w:w="100"/>
              <w:bottom w:type="dxa" w:w="80"/>
              <w:right w:type="dxa" w:w="100"/>
            </w:tcMar>
          </w:tcPr>
          <w:p>
            <w:r>
              <w:rPr>
                <w:b w:val="false"/>
                <w:bCs w:val="false"/>
                <w:color w:val="000000"/>
                <w:sz w:val="20"/>
                <w:szCs w:val="20"/>
              </w:rPr>
              <w:t xml:space="preserve">AI intelligence</w:t>
            </w:r>
          </w:p>
        </w:tc>
        <w:tc>
          <w:tcPr>
            <w:tcW w:type="dxa" w:w="3000"/>
            <w:tcMar>
              <w:top w:type="dxa" w:w="80"/>
              <w:left w:type="dxa" w:w="100"/>
              <w:bottom w:type="dxa" w:w="80"/>
              <w:right w:type="dxa" w:w="100"/>
            </w:tcMar>
          </w:tcPr>
          <w:p>
            <w:r>
              <w:rPr>
                <w:b w:val="false"/>
                <w:bCs w:val="false"/>
                <w:color w:val="000000"/>
                <w:sz w:val="20"/>
                <w:szCs w:val="20"/>
              </w:rPr>
              <w:t xml:space="preserve">ML/DL models per hazard, fusion engine, NLP</w:t>
            </w:r>
          </w:p>
        </w:tc>
        <w:tc>
          <w:tcPr>
            <w:tcW w:type="dxa" w:w="3000"/>
            <w:tcMar>
              <w:top w:type="dxa" w:w="80"/>
              <w:left w:type="dxa" w:w="100"/>
              <w:bottom w:type="dxa" w:w="80"/>
              <w:right w:type="dxa" w:w="100"/>
            </w:tcMar>
          </w:tcPr>
          <w:p>
            <w:r>
              <w:rPr>
                <w:b w:val="false"/>
                <w:bCs w:val="false"/>
                <w:color w:val="000000"/>
                <w:sz w:val="20"/>
                <w:szCs w:val="20"/>
              </w:rPr>
              <w:t xml:space="preserve">Turn raw data into risk scores &amp; recommendations</w:t>
            </w:r>
          </w:p>
        </w:tc>
        <w:tc>
          <w:tcPr>
            <w:tcW w:type="dxa" w:w="1900"/>
            <w:tcMar>
              <w:top w:type="dxa" w:w="80"/>
              <w:left w:type="dxa" w:w="100"/>
              <w:bottom w:type="dxa" w:w="80"/>
              <w:right w:type="dxa" w:w="100"/>
            </w:tcMar>
          </w:tcPr>
          <w:p>
            <w:r>
              <w:rPr>
                <w:b w:val="false"/>
                <w:bCs w:val="false"/>
                <w:color w:val="000000"/>
                <w:sz w:val="20"/>
                <w:szCs w:val="20"/>
              </w:rPr>
              <w:t xml:space="preserve">AI engineering</w:t>
            </w:r>
          </w:p>
        </w:tc>
      </w:tr>
      <w:tr>
        <w:tc>
          <w:tcPr>
            <w:tcW w:type="dxa" w:w="1600"/>
            <w:tcMar>
              <w:top w:type="dxa" w:w="80"/>
              <w:left w:type="dxa" w:w="100"/>
              <w:bottom w:type="dxa" w:w="80"/>
              <w:right w:type="dxa" w:w="100"/>
            </w:tcMar>
          </w:tcPr>
          <w:p>
            <w:r>
              <w:rPr>
                <w:b w:val="false"/>
                <w:bCs w:val="false"/>
                <w:color w:val="000000"/>
                <w:sz w:val="20"/>
                <w:szCs w:val="20"/>
              </w:rPr>
              <w:t xml:space="preserve">Delivery</w:t>
            </w:r>
          </w:p>
        </w:tc>
        <w:tc>
          <w:tcPr>
            <w:tcW w:type="dxa" w:w="3000"/>
            <w:tcMar>
              <w:top w:type="dxa" w:w="80"/>
              <w:left w:type="dxa" w:w="100"/>
              <w:bottom w:type="dxa" w:w="80"/>
              <w:right w:type="dxa" w:w="100"/>
            </w:tcMar>
          </w:tcPr>
          <w:p>
            <w:r>
              <w:rPr>
                <w:b w:val="false"/>
                <w:bCs w:val="false"/>
                <w:color w:val="000000"/>
                <w:sz w:val="20"/>
                <w:szCs w:val="20"/>
              </w:rPr>
              <w:t xml:space="preserve">Android app, Bengali voice assistant, SMS gateway</w:t>
            </w:r>
          </w:p>
        </w:tc>
        <w:tc>
          <w:tcPr>
            <w:tcW w:type="dxa" w:w="3000"/>
            <w:tcMar>
              <w:top w:type="dxa" w:w="80"/>
              <w:left w:type="dxa" w:w="100"/>
              <w:bottom w:type="dxa" w:w="80"/>
              <w:right w:type="dxa" w:w="100"/>
            </w:tcMar>
          </w:tcPr>
          <w:p>
            <w:r>
              <w:rPr>
                <w:b w:val="false"/>
                <w:bCs w:val="false"/>
                <w:color w:val="000000"/>
                <w:sz w:val="20"/>
                <w:szCs w:val="20"/>
              </w:rPr>
              <w:t xml:space="preserve">Reach farmers in usable language &amp; channel</w:t>
            </w:r>
          </w:p>
        </w:tc>
        <w:tc>
          <w:tcPr>
            <w:tcW w:type="dxa" w:w="1900"/>
            <w:tcMar>
              <w:top w:type="dxa" w:w="80"/>
              <w:left w:type="dxa" w:w="100"/>
              <w:bottom w:type="dxa" w:w="80"/>
              <w:right w:type="dxa" w:w="100"/>
            </w:tcMar>
          </w:tcPr>
          <w:p>
            <w:r>
              <w:rPr>
                <w:b w:val="false"/>
                <w:bCs w:val="false"/>
                <w:color w:val="000000"/>
                <w:sz w:val="20"/>
                <w:szCs w:val="20"/>
              </w:rPr>
              <w:t xml:space="preserve">Systems + UX engineering</w:t>
            </w:r>
          </w:p>
        </w:tc>
      </w:tr>
    </w:tbl>
    <w:p>
      <w:pPr>
        <w:pStyle w:val="Heading1"/>
        <w:spacing w:after="160" w:before="360"/>
      </w:pPr>
      <w:r>
        <w:t xml:space="preserve">4. AI / Machine Learning Engineering Layer</w:t>
      </w:r>
    </w:p>
    <w:p>
      <w:pPr>
        <w:pStyle w:val="Heading2"/>
        <w:spacing w:after="120" w:before="280"/>
      </w:pPr>
      <w:r>
        <w:t xml:space="preserve">4.1 Model Portfolio</w:t>
      </w:r>
    </w:p>
    <w:p>
      <w:pPr>
        <w:spacing w:after="160" w:line="300"/>
        <w:jc w:val="both"/>
      </w:pPr>
      <w:r>
        <w:t xml:space="preserve">Each hazard is served by a purpose-built model rather than one monolithic model, because the input signals, time horizons, and accuracy requirements differ sharply: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3000"/>
        <w:gridCol w:w="1800"/>
      </w:tblGrid>
      <w:tr>
        <w:trPr>
          <w:tblHeader/>
        </w:trPr>
        <w:tc>
          <w:tcPr>
            <w:tcW w:type="dxa" w:w="2100"/>
            <w:shd w:fill="1F3864" w:val="clear"/>
            <w:tcMar>
              <w:top w:type="dxa" w:w="80"/>
              <w:left w:type="dxa" w:w="100"/>
              <w:bottom w:type="dxa" w:w="80"/>
              <w:right w:type="dxa" w:w="100"/>
            </w:tcMar>
          </w:tcPr>
          <w:p>
            <w:r>
              <w:rPr>
                <w:b/>
                <w:bCs/>
                <w:color w:val="FFFFFF"/>
                <w:sz w:val="20"/>
                <w:szCs w:val="20"/>
              </w:rPr>
              <w:t xml:space="preserve">Module</w:t>
            </w:r>
          </w:p>
        </w:tc>
        <w:tc>
          <w:tcPr>
            <w:tcW w:type="dxa" w:w="2600"/>
            <w:shd w:fill="1F3864" w:val="clear"/>
            <w:tcMar>
              <w:top w:type="dxa" w:w="80"/>
              <w:left w:type="dxa" w:w="100"/>
              <w:bottom w:type="dxa" w:w="80"/>
              <w:right w:type="dxa" w:w="100"/>
            </w:tcMar>
          </w:tcPr>
          <w:p>
            <w:r>
              <w:rPr>
                <w:b/>
                <w:bCs/>
                <w:color w:val="FFFFFF"/>
                <w:sz w:val="20"/>
                <w:szCs w:val="20"/>
              </w:rPr>
              <w:t xml:space="preserve">Model Type</w:t>
            </w:r>
          </w:p>
        </w:tc>
        <w:tc>
          <w:tcPr>
            <w:tcW w:type="dxa" w:w="3000"/>
            <w:shd w:fill="1F3864" w:val="clear"/>
            <w:tcMar>
              <w:top w:type="dxa" w:w="80"/>
              <w:left w:type="dxa" w:w="100"/>
              <w:bottom w:type="dxa" w:w="80"/>
              <w:right w:type="dxa" w:w="100"/>
            </w:tcMar>
          </w:tcPr>
          <w:p>
            <w:r>
              <w:rPr>
                <w:b/>
                <w:bCs/>
                <w:color w:val="FFFFFF"/>
                <w:sz w:val="20"/>
                <w:szCs w:val="20"/>
              </w:rPr>
              <w:t xml:space="preserve">Inputs</w:t>
            </w:r>
          </w:p>
        </w:tc>
        <w:tc>
          <w:tcPr>
            <w:tcW w:type="dxa" w:w="1800"/>
            <w:shd w:fill="1F3864" w:val="clear"/>
            <w:tcMar>
              <w:top w:type="dxa" w:w="80"/>
              <w:left w:type="dxa" w:w="100"/>
              <w:bottom w:type="dxa" w:w="80"/>
              <w:right w:type="dxa" w:w="100"/>
            </w:tcMar>
          </w:tcPr>
          <w:p>
            <w:r>
              <w:rPr>
                <w:b/>
                <w:bCs/>
                <w:color w:val="FFFFFF"/>
                <w:sz w:val="20"/>
                <w:szCs w:val="20"/>
              </w:rPr>
              <w:t xml:space="preserve">Horizon</w:t>
            </w:r>
          </w:p>
        </w:tc>
      </w:tr>
      <w:tr>
        <w:tc>
          <w:tcPr>
            <w:tcW w:type="dxa" w:w="2100"/>
            <w:tcMar>
              <w:top w:type="dxa" w:w="80"/>
              <w:left w:type="dxa" w:w="100"/>
              <w:bottom w:type="dxa" w:w="80"/>
              <w:right w:type="dxa" w:w="100"/>
            </w:tcMar>
          </w:tcPr>
          <w:p>
            <w:r>
              <w:rPr>
                <w:b w:val="false"/>
                <w:bCs w:val="false"/>
                <w:color w:val="000000"/>
                <w:sz w:val="20"/>
                <w:szCs w:val="20"/>
              </w:rPr>
              <w:t xml:space="preserve">Salinity</w:t>
            </w:r>
          </w:p>
        </w:tc>
        <w:tc>
          <w:tcPr>
            <w:tcW w:type="dxa" w:w="2600"/>
            <w:tcMar>
              <w:top w:type="dxa" w:w="80"/>
              <w:left w:type="dxa" w:w="100"/>
              <w:bottom w:type="dxa" w:w="80"/>
              <w:right w:type="dxa" w:w="100"/>
            </w:tcMar>
          </w:tcPr>
          <w:p>
            <w:r>
              <w:rPr>
                <w:b w:val="false"/>
                <w:bCs w:val="false"/>
                <w:color w:val="000000"/>
                <w:sz w:val="20"/>
                <w:szCs w:val="20"/>
              </w:rPr>
              <w:t xml:space="preserve">Gradient-boosted trees (XGBoost) for point-in-time EC; LSTM for trend</w:t>
            </w:r>
          </w:p>
        </w:tc>
        <w:tc>
          <w:tcPr>
            <w:tcW w:type="dxa" w:w="3000"/>
            <w:tcMar>
              <w:top w:type="dxa" w:w="80"/>
              <w:left w:type="dxa" w:w="100"/>
              <w:bottom w:type="dxa" w:w="80"/>
              <w:right w:type="dxa" w:w="100"/>
            </w:tcMar>
          </w:tcPr>
          <w:p>
            <w:r>
              <w:rPr>
                <w:b w:val="false"/>
                <w:bCs w:val="false"/>
                <w:color w:val="000000"/>
                <w:sz w:val="20"/>
                <w:szCs w:val="20"/>
              </w:rPr>
              <w:t xml:space="preserve">Soil EC, tide/sea-level, rainfall, satellite salinity proxies</w:t>
            </w:r>
          </w:p>
        </w:tc>
        <w:tc>
          <w:tcPr>
            <w:tcW w:type="dxa" w:w="1800"/>
            <w:tcMar>
              <w:top w:type="dxa" w:w="80"/>
              <w:left w:type="dxa" w:w="100"/>
              <w:bottom w:type="dxa" w:w="80"/>
              <w:right w:type="dxa" w:w="100"/>
            </w:tcMar>
          </w:tcPr>
          <w:p>
            <w:r>
              <w:rPr>
                <w:b w:val="false"/>
                <w:bCs w:val="false"/>
                <w:color w:val="000000"/>
                <w:sz w:val="20"/>
                <w:szCs w:val="20"/>
              </w:rPr>
              <w:t xml:space="preserve">1–3 months</w:t>
            </w:r>
          </w:p>
        </w:tc>
      </w:tr>
      <w:tr>
        <w:tc>
          <w:tcPr>
            <w:tcW w:type="dxa" w:w="2100"/>
            <w:tcMar>
              <w:top w:type="dxa" w:w="80"/>
              <w:left w:type="dxa" w:w="100"/>
              <w:bottom w:type="dxa" w:w="80"/>
              <w:right w:type="dxa" w:w="100"/>
            </w:tcMar>
          </w:tcPr>
          <w:p>
            <w:r>
              <w:rPr>
                <w:b w:val="false"/>
                <w:bCs w:val="false"/>
                <w:color w:val="000000"/>
                <w:sz w:val="20"/>
                <w:szCs w:val="20"/>
              </w:rPr>
              <w:t xml:space="preserve">Flood/water risk</w:t>
            </w:r>
          </w:p>
        </w:tc>
        <w:tc>
          <w:tcPr>
            <w:tcW w:type="dxa" w:w="2600"/>
            <w:tcMar>
              <w:top w:type="dxa" w:w="80"/>
              <w:left w:type="dxa" w:w="100"/>
              <w:bottom w:type="dxa" w:w="80"/>
              <w:right w:type="dxa" w:w="100"/>
            </w:tcMar>
          </w:tcPr>
          <w:p>
            <w:r>
              <w:rPr>
                <w:b w:val="false"/>
                <w:bCs w:val="false"/>
                <w:color w:val="000000"/>
                <w:sz w:val="20"/>
                <w:szCs w:val="20"/>
              </w:rPr>
              <w:t xml:space="preserve">CNN on Sentinel-1 SAR + river-gauge time series</w:t>
            </w:r>
          </w:p>
        </w:tc>
        <w:tc>
          <w:tcPr>
            <w:tcW w:type="dxa" w:w="3000"/>
            <w:tcMar>
              <w:top w:type="dxa" w:w="80"/>
              <w:left w:type="dxa" w:w="100"/>
              <w:bottom w:type="dxa" w:w="80"/>
              <w:right w:type="dxa" w:w="100"/>
            </w:tcMar>
          </w:tcPr>
          <w:p>
            <w:r>
              <w:rPr>
                <w:b w:val="false"/>
                <w:bCs w:val="false"/>
                <w:color w:val="000000"/>
                <w:sz w:val="20"/>
                <w:szCs w:val="20"/>
              </w:rPr>
              <w:t xml:space="preserve">SAR backscatter, river level, rainfall</w:t>
            </w:r>
          </w:p>
        </w:tc>
        <w:tc>
          <w:tcPr>
            <w:tcW w:type="dxa" w:w="1800"/>
            <w:tcMar>
              <w:top w:type="dxa" w:w="80"/>
              <w:left w:type="dxa" w:w="100"/>
              <w:bottom w:type="dxa" w:w="80"/>
              <w:right w:type="dxa" w:w="100"/>
            </w:tcMar>
          </w:tcPr>
          <w:p>
            <w:r>
              <w:rPr>
                <w:b w:val="false"/>
                <w:bCs w:val="false"/>
                <w:color w:val="000000"/>
                <w:sz w:val="20"/>
                <w:szCs w:val="20"/>
              </w:rPr>
              <w:t xml:space="preserve">3–10 days</w:t>
            </w:r>
          </w:p>
        </w:tc>
      </w:tr>
      <w:tr>
        <w:tc>
          <w:tcPr>
            <w:tcW w:type="dxa" w:w="2100"/>
            <w:tcMar>
              <w:top w:type="dxa" w:w="80"/>
              <w:left w:type="dxa" w:w="100"/>
              <w:bottom w:type="dxa" w:w="80"/>
              <w:right w:type="dxa" w:w="100"/>
            </w:tcMar>
          </w:tcPr>
          <w:p>
            <w:r>
              <w:rPr>
                <w:b w:val="false"/>
                <w:bCs w:val="false"/>
                <w:color w:val="000000"/>
                <w:sz w:val="20"/>
                <w:szCs w:val="20"/>
              </w:rPr>
              <w:t xml:space="preserve">Drought</w:t>
            </w:r>
          </w:p>
        </w:tc>
        <w:tc>
          <w:tcPr>
            <w:tcW w:type="dxa" w:w="2600"/>
            <w:tcMar>
              <w:top w:type="dxa" w:w="80"/>
              <w:left w:type="dxa" w:w="100"/>
              <w:bottom w:type="dxa" w:w="80"/>
              <w:right w:type="dxa" w:w="100"/>
            </w:tcMar>
          </w:tcPr>
          <w:p>
            <w:r>
              <w:rPr>
                <w:b w:val="false"/>
                <w:bCs w:val="false"/>
                <w:color w:val="000000"/>
                <w:sz w:val="20"/>
                <w:szCs w:val="20"/>
              </w:rPr>
              <w:t xml:space="preserve">Time-series ML (LSTM / Prophet) on groundwater &amp; moisture</w:t>
            </w:r>
          </w:p>
        </w:tc>
        <w:tc>
          <w:tcPr>
            <w:tcW w:type="dxa" w:w="3000"/>
            <w:tcMar>
              <w:top w:type="dxa" w:w="80"/>
              <w:left w:type="dxa" w:w="100"/>
              <w:bottom w:type="dxa" w:w="80"/>
              <w:right w:type="dxa" w:w="100"/>
            </w:tcMar>
          </w:tcPr>
          <w:p>
            <w:r>
              <w:rPr>
                <w:b w:val="false"/>
                <w:bCs w:val="false"/>
                <w:color w:val="000000"/>
                <w:sz w:val="20"/>
                <w:szCs w:val="20"/>
              </w:rPr>
              <w:t xml:space="preserve">Groundwater level, soil moisture, temperature history</w:t>
            </w:r>
          </w:p>
        </w:tc>
        <w:tc>
          <w:tcPr>
            <w:tcW w:type="dxa" w:w="1800"/>
            <w:tcMar>
              <w:top w:type="dxa" w:w="80"/>
              <w:left w:type="dxa" w:w="100"/>
              <w:bottom w:type="dxa" w:w="80"/>
              <w:right w:type="dxa" w:w="100"/>
            </w:tcMar>
          </w:tcPr>
          <w:p>
            <w:r>
              <w:rPr>
                <w:b w:val="false"/>
                <w:bCs w:val="false"/>
                <w:color w:val="000000"/>
                <w:sz w:val="20"/>
                <w:szCs w:val="20"/>
              </w:rPr>
              <w:t xml:space="preserve">2–8 weeks</w:t>
            </w:r>
          </w:p>
        </w:tc>
      </w:tr>
      <w:tr>
        <w:tc>
          <w:tcPr>
            <w:tcW w:type="dxa" w:w="2100"/>
            <w:tcMar>
              <w:top w:type="dxa" w:w="80"/>
              <w:left w:type="dxa" w:w="100"/>
              <w:bottom w:type="dxa" w:w="80"/>
              <w:right w:type="dxa" w:w="100"/>
            </w:tcMar>
          </w:tcPr>
          <w:p>
            <w:r>
              <w:rPr>
                <w:b w:val="false"/>
                <w:bCs w:val="false"/>
                <w:color w:val="000000"/>
                <w:sz w:val="20"/>
                <w:szCs w:val="20"/>
              </w:rPr>
              <w:t xml:space="preserve">Crop recommendation</w:t>
            </w:r>
          </w:p>
        </w:tc>
        <w:tc>
          <w:tcPr>
            <w:tcW w:type="dxa" w:w="2600"/>
            <w:tcMar>
              <w:top w:type="dxa" w:w="80"/>
              <w:left w:type="dxa" w:w="100"/>
              <w:bottom w:type="dxa" w:w="80"/>
              <w:right w:type="dxa" w:w="100"/>
            </w:tcMar>
          </w:tcPr>
          <w:p>
            <w:r>
              <w:rPr>
                <w:b w:val="false"/>
                <w:bCs w:val="false"/>
                <w:color w:val="000000"/>
                <w:sz w:val="20"/>
                <w:szCs w:val="20"/>
              </w:rPr>
              <w:t xml:space="preserve">Rule-constrained recommender (gradient boosting + agronomic rules)</w:t>
            </w:r>
          </w:p>
        </w:tc>
        <w:tc>
          <w:tcPr>
            <w:tcW w:type="dxa" w:w="3000"/>
            <w:tcMar>
              <w:top w:type="dxa" w:w="80"/>
              <w:left w:type="dxa" w:w="100"/>
              <w:bottom w:type="dxa" w:w="80"/>
              <w:right w:type="dxa" w:w="100"/>
            </w:tcMar>
          </w:tcPr>
          <w:p>
            <w:r>
              <w:rPr>
                <w:b w:val="false"/>
                <w:bCs w:val="false"/>
                <w:color w:val="000000"/>
                <w:sz w:val="20"/>
                <w:szCs w:val="20"/>
              </w:rPr>
              <w:t xml:space="preserve">Soil type, water availability, season, market price</w:t>
            </w:r>
          </w:p>
        </w:tc>
        <w:tc>
          <w:tcPr>
            <w:tcW w:type="dxa" w:w="1800"/>
            <w:tcMar>
              <w:top w:type="dxa" w:w="80"/>
              <w:left w:type="dxa" w:w="100"/>
              <w:bottom w:type="dxa" w:w="80"/>
              <w:right w:type="dxa" w:w="100"/>
            </w:tcMar>
          </w:tcPr>
          <w:p>
            <w:r>
              <w:rPr>
                <w:b w:val="false"/>
                <w:bCs w:val="false"/>
                <w:color w:val="000000"/>
                <w:sz w:val="20"/>
                <w:szCs w:val="20"/>
              </w:rPr>
              <w:t xml:space="preserve">Seasonal</w:t>
            </w:r>
          </w:p>
        </w:tc>
      </w:tr>
      <w:tr>
        <w:tc>
          <w:tcPr>
            <w:tcW w:type="dxa" w:w="2100"/>
            <w:tcMar>
              <w:top w:type="dxa" w:w="80"/>
              <w:left w:type="dxa" w:w="100"/>
              <w:bottom w:type="dxa" w:w="80"/>
              <w:right w:type="dxa" w:w="100"/>
            </w:tcMar>
          </w:tcPr>
          <w:p>
            <w:r>
              <w:rPr>
                <w:b w:val="false"/>
                <w:bCs w:val="false"/>
                <w:color w:val="000000"/>
                <w:sz w:val="20"/>
                <w:szCs w:val="20"/>
              </w:rPr>
              <w:t xml:space="preserve">Weather-to-advisory</w:t>
            </w:r>
          </w:p>
        </w:tc>
        <w:tc>
          <w:tcPr>
            <w:tcW w:type="dxa" w:w="2600"/>
            <w:tcMar>
              <w:top w:type="dxa" w:w="80"/>
              <w:left w:type="dxa" w:w="100"/>
              <w:bottom w:type="dxa" w:w="80"/>
              <w:right w:type="dxa" w:w="100"/>
            </w:tcMar>
          </w:tcPr>
          <w:p>
            <w:r>
              <w:rPr>
                <w:b w:val="false"/>
                <w:bCs w:val="false"/>
                <w:color w:val="000000"/>
                <w:sz w:val="20"/>
                <w:szCs w:val="20"/>
              </w:rPr>
              <w:t xml:space="preserve">Template-grounded generative AI (small fine-tuned LLM)</w:t>
            </w:r>
          </w:p>
        </w:tc>
        <w:tc>
          <w:tcPr>
            <w:tcW w:type="dxa" w:w="3000"/>
            <w:tcMar>
              <w:top w:type="dxa" w:w="80"/>
              <w:left w:type="dxa" w:w="100"/>
              <w:bottom w:type="dxa" w:w="80"/>
              <w:right w:type="dxa" w:w="100"/>
            </w:tcMar>
          </w:tcPr>
          <w:p>
            <w:r>
              <w:rPr>
                <w:b w:val="false"/>
                <w:bCs w:val="false"/>
                <w:color w:val="000000"/>
                <w:sz w:val="20"/>
                <w:szCs w:val="20"/>
              </w:rPr>
              <w:t xml:space="preserve">Forecast + crop + growth stage</w:t>
            </w:r>
          </w:p>
        </w:tc>
        <w:tc>
          <w:tcPr>
            <w:tcW w:type="dxa" w:w="1800"/>
            <w:tcMar>
              <w:top w:type="dxa" w:w="80"/>
              <w:left w:type="dxa" w:w="100"/>
              <w:bottom w:type="dxa" w:w="80"/>
              <w:right w:type="dxa" w:w="100"/>
            </w:tcMar>
          </w:tcPr>
          <w:p>
            <w:r>
              <w:rPr>
                <w:b w:val="false"/>
                <w:bCs w:val="false"/>
                <w:color w:val="000000"/>
                <w:sz w:val="20"/>
                <w:szCs w:val="20"/>
              </w:rPr>
              <w:t xml:space="preserve">1–7 days</w:t>
            </w:r>
          </w:p>
        </w:tc>
      </w:tr>
      <w:tr>
        <w:tc>
          <w:tcPr>
            <w:tcW w:type="dxa" w:w="2100"/>
            <w:tcMar>
              <w:top w:type="dxa" w:w="80"/>
              <w:left w:type="dxa" w:w="100"/>
              <w:bottom w:type="dxa" w:w="80"/>
              <w:right w:type="dxa" w:w="100"/>
            </w:tcMar>
          </w:tcPr>
          <w:p>
            <w:r>
              <w:rPr>
                <w:b w:val="false"/>
                <w:bCs w:val="false"/>
                <w:color w:val="000000"/>
                <w:sz w:val="20"/>
                <w:szCs w:val="20"/>
              </w:rPr>
              <w:t xml:space="preserve">Fusion engine</w:t>
            </w:r>
          </w:p>
        </w:tc>
        <w:tc>
          <w:tcPr>
            <w:tcW w:type="dxa" w:w="2600"/>
            <w:tcMar>
              <w:top w:type="dxa" w:w="80"/>
              <w:left w:type="dxa" w:w="100"/>
              <w:bottom w:type="dxa" w:w="80"/>
              <w:right w:type="dxa" w:w="100"/>
            </w:tcMar>
          </w:tcPr>
          <w:p>
            <w:r>
              <w:rPr>
                <w:b w:val="false"/>
                <w:bCs w:val="false"/>
                <w:color w:val="000000"/>
                <w:sz w:val="20"/>
                <w:szCs w:val="20"/>
              </w:rPr>
              <w:t xml:space="preserve">Weighted ensemble / Bayesian combination, not a black box</w:t>
            </w:r>
          </w:p>
        </w:tc>
        <w:tc>
          <w:tcPr>
            <w:tcW w:type="dxa" w:w="3000"/>
            <w:tcMar>
              <w:top w:type="dxa" w:w="80"/>
              <w:left w:type="dxa" w:w="100"/>
              <w:bottom w:type="dxa" w:w="80"/>
              <w:right w:type="dxa" w:w="100"/>
            </w:tcMar>
          </w:tcPr>
          <w:p>
            <w:r>
              <w:rPr>
                <w:b w:val="false"/>
                <w:bCs w:val="false"/>
                <w:color w:val="000000"/>
                <w:sz w:val="20"/>
                <w:szCs w:val="20"/>
              </w:rPr>
              <w:t xml:space="preserve">All module outputs</w:t>
            </w:r>
          </w:p>
        </w:tc>
        <w:tc>
          <w:tcPr>
            <w:tcW w:type="dxa" w:w="1800"/>
            <w:tcMar>
              <w:top w:type="dxa" w:w="80"/>
              <w:left w:type="dxa" w:w="100"/>
              <w:bottom w:type="dxa" w:w="80"/>
              <w:right w:type="dxa" w:w="100"/>
            </w:tcMar>
          </w:tcPr>
          <w:p>
            <w:r>
              <w:rPr>
                <w:b w:val="false"/>
                <w:bCs w:val="false"/>
                <w:color w:val="000000"/>
                <w:sz w:val="20"/>
                <w:szCs w:val="20"/>
              </w:rPr>
              <w:t xml:space="preserve">Real time</w:t>
            </w:r>
          </w:p>
        </w:tc>
      </w:tr>
    </w:tbl>
    <w:p>
      <w:pPr>
        <w:pStyle w:val="Heading2"/>
        <w:spacing w:after="120" w:before="280"/>
      </w:pPr>
      <w:r>
        <w:t xml:space="preserve">4.2 Why Not One Big Model</w:t>
      </w:r>
    </w:p>
    <w:p>
      <w:pPr>
        <w:spacing w:after="160" w:line="300"/>
        <w:jc w:val="both"/>
      </w:pPr>
      <w:r>
        <w:t xml:space="preserve">Hazard-specific models are chosen deliberately: labeled ground-truth is scarce and expensive to collect in Bangladesh, so each model should use the smallest, most interpretable architecture that fits its data volume. Deep learning (CNN/LSTM) is reserved for satellite imagery and long time-series, where enough public data (Sentinel, BMD archives) exists to train from; classical ML (XGBoost, regression) is used wherever labeled field data will remain thin for years. This keeps early-phase models auditable by agronomists, which matters for farmer trust and for BARI/BRRI scientific sign-off.</w:t>
      </w:r>
    </w:p>
    <w:p>
      <w:pPr>
        <w:pStyle w:val="Heading2"/>
        <w:spacing w:after="120" w:before="280"/>
      </w:pPr>
      <w:r>
        <w:t xml:space="preserve">4.3 The Generative-AI Layer Needs Guardrails</w:t>
      </w:r>
    </w:p>
    <w:p>
      <w:pPr>
        <w:spacing w:after="160" w:line="300"/>
        <w:jc w:val="both"/>
      </w:pPr>
      <w:r>
        <w:t xml:space="preserve">The "AI weather interpretation" feature (turning a rainfall forecast into a Bengali action sentence) is the most farmer-visible AI feature and the riskiest if ungrounded: a generic LLM can hallucinate agronomic advice. The safer engineering pattern is template-grounded generation — the LLM only rewrites pre-validated, agronomist-approved advisory templates into fluent Bengali/voice form, rather than freely generating advice. This converts a risk (wrong advice) into a UX problem (phrasing), which is far cheaper to get right.</w:t>
      </w:r>
    </w:p>
    <w:p>
      <w:pPr>
        <w:pStyle w:val="Heading2"/>
        <w:spacing w:after="120" w:before="280"/>
      </w:pPr>
      <w:r>
        <w:t xml:space="preserve">4.4 MLOps &amp; Continuous Learning</w:t>
      </w:r>
    </w:p>
    <w:p>
      <w:pPr>
        <w:pStyle w:val="ListParagraph"/>
        <w:numPr>
          <w:ilvl w:val="0"/>
          <w:numId w:val="2"/>
        </w:numPr>
        <w:spacing w:after="80"/>
      </w:pPr>
      <w:r>
        <w:t xml:space="preserve">Model registry + versioning so a bad retrained model can be rolled back within a season.</w:t>
      </w:r>
    </w:p>
    <w:p>
      <w:pPr>
        <w:pStyle w:val="ListParagraph"/>
        <w:numPr>
          <w:ilvl w:val="0"/>
          <w:numId w:val="2"/>
        </w:numPr>
        <w:spacing w:after="80"/>
      </w:pPr>
      <w:r>
        <w:t xml:space="preserve">Drift monitoring: Bangladesh's monsoon/dry-season swing means models must be re-validated twice yearly, not treated as static.</w:t>
      </w:r>
    </w:p>
    <w:p>
      <w:pPr>
        <w:pStyle w:val="ListParagraph"/>
        <w:numPr>
          <w:ilvl w:val="0"/>
          <w:numId w:val="2"/>
        </w:numPr>
        <w:spacing w:after="80"/>
      </w:pPr>
      <w:r>
        <w:t xml:space="preserve">Feedback loop: farmer-reported outcomes (via app/SMS reply) become new labeled data — this is the single highest-value data source the project can create for itself.</w:t>
      </w:r>
    </w:p>
    <w:p>
      <w:pPr>
        <w:pStyle w:val="ListParagraph"/>
        <w:numPr>
          <w:ilvl w:val="0"/>
          <w:numId w:val="2"/>
        </w:numPr>
        <w:spacing w:after="80"/>
      </w:pPr>
      <w:r>
        <w:t xml:space="preserve">Human-in-the-loop review by an agriculture officer before any new model version reaches farmers, for at least the first two years.</w:t>
      </w:r>
    </w:p>
    <w:p>
      <w:pPr>
        <w:pStyle w:val="Heading1"/>
        <w:spacing w:after="160" w:before="360"/>
      </w:pPr>
      <w:r>
        <w:t xml:space="preserve">5. Systems / Software Engineering Architecture</w:t>
      </w:r>
    </w:p>
    <w:p>
      <w:pPr>
        <w:pStyle w:val="Heading2"/>
        <w:spacing w:after="120" w:before="280"/>
      </w:pPr>
      <w:r>
        <w:t xml:space="preserve">5.1 Backend &amp; Data Platform</w:t>
      </w:r>
    </w:p>
    <w:p>
      <w:pPr>
        <w:pStyle w:val="ListParagraph"/>
        <w:numPr>
          <w:ilvl w:val="0"/>
          <w:numId w:val="2"/>
        </w:numPr>
        <w:spacing w:after="80"/>
      </w:pPr>
      <w:r>
        <w:t xml:space="preserve">API layer: Python/FastAPI microservices — one service per AI module plus a fusion service, so a single model's failure or retraining never takes the whole platform down.</w:t>
      </w:r>
    </w:p>
    <w:p>
      <w:pPr>
        <w:pStyle w:val="ListParagraph"/>
        <w:numPr>
          <w:ilvl w:val="0"/>
          <w:numId w:val="2"/>
        </w:numPr>
        <w:spacing w:after="80"/>
      </w:pPr>
      <w:r>
        <w:t xml:space="preserve">Geospatial + time-series store: PostgreSQL with PostGIS (farm boundaries, district zones) and TimescaleDB or partitioned tables for high-frequency sensor readings.</w:t>
      </w:r>
    </w:p>
    <w:p>
      <w:pPr>
        <w:pStyle w:val="ListParagraph"/>
        <w:numPr>
          <w:ilvl w:val="0"/>
          <w:numId w:val="2"/>
        </w:numPr>
        <w:spacing w:after="80"/>
      </w:pPr>
      <w:r>
        <w:t xml:space="preserve">Message broker: MQTT broker (e.g., EMQX/Mosquitto) as the IoT ingestion point — designed for exactly this kind of many-small-devices, unreliable-network traffic.</w:t>
      </w:r>
    </w:p>
    <w:p>
      <w:pPr>
        <w:pStyle w:val="ListParagraph"/>
        <w:numPr>
          <w:ilvl w:val="0"/>
          <w:numId w:val="2"/>
        </w:numPr>
        <w:spacing w:after="80"/>
      </w:pPr>
      <w:r>
        <w:t xml:space="preserve">Object storage for satellite imagery tiles and model artifacts (S3-compatible; can be self-hosted MinIO for cost control).</w:t>
      </w:r>
    </w:p>
    <w:p>
      <w:pPr>
        <w:pStyle w:val="ListParagraph"/>
        <w:numPr>
          <w:ilvl w:val="0"/>
          <w:numId w:val="2"/>
        </w:numPr>
        <w:spacing w:after="80"/>
      </w:pPr>
      <w:r>
        <w:t xml:space="preserve">API gateway + authentication (OAuth2/JWT) separating farmer-app traffic from agriculture-officer dashboard traffic and internal model-serving traffic.</w:t>
      </w:r>
    </w:p>
    <w:p>
      <w:pPr>
        <w:pStyle w:val="Heading2"/>
        <w:spacing w:after="120" w:before="280"/>
      </w:pPr>
      <w:r>
        <w:t xml:space="preserve">5.2 Offline-First &amp; Low-Bandwidth Design</w:t>
      </w:r>
    </w:p>
    <w:p>
      <w:pPr>
        <w:spacing w:after="160" w:line="300"/>
        <w:jc w:val="both"/>
      </w:pPr>
      <w:r>
        <w:t xml:space="preserve">Rural connectivity in Bangladesh is intermittent, so the mobile app must function offline-first: cached last-known farm status, locally queued sensor readings that sync when connectivity returns, and SMS as the fallback channel for farmers without smartphones or data balance. This is not an edge case — it is a primary design constraint, and the architecture in the uploaded documents already reflects this correctly via the SMS/voice channel.</w:t>
      </w:r>
    </w:p>
    <w:p>
      <w:pPr>
        <w:pStyle w:val="Heading2"/>
        <w:spacing w:after="120" w:before="280"/>
      </w:pPr>
      <w:r>
        <w:t xml:space="preserve">5.3 Security &amp; Data Protection</w:t>
      </w:r>
    </w:p>
    <w:p>
      <w:pPr>
        <w:pStyle w:val="ListParagraph"/>
        <w:numPr>
          <w:ilvl w:val="0"/>
          <w:numId w:val="2"/>
        </w:numPr>
        <w:spacing w:after="80"/>
      </w:pPr>
      <w:r>
        <w:t xml:space="preserve">Encrypt data in transit (TLS) and at rest; IoT devices authenticate with per-device keys, not a shared credential.</w:t>
      </w:r>
    </w:p>
    <w:p>
      <w:pPr>
        <w:pStyle w:val="ListParagraph"/>
        <w:numPr>
          <w:ilvl w:val="0"/>
          <w:numId w:val="2"/>
        </w:numPr>
        <w:spacing w:after="80"/>
      </w:pPr>
      <w:r>
        <w:t xml:space="preserve">Farmer data (location, yield, income proxies) is personal/commercially sensitive — align retention and consent practices with Bangladesh's data-protection regulatory direction and any telecom-partner (Grameenphone) data-handling policy.</w:t>
      </w:r>
    </w:p>
    <w:p>
      <w:pPr>
        <w:pStyle w:val="ListParagraph"/>
        <w:numPr>
          <w:ilvl w:val="0"/>
          <w:numId w:val="2"/>
        </w:numPr>
        <w:spacing w:after="80"/>
      </w:pPr>
      <w:r>
        <w:t xml:space="preserve">Rate-limit and anomaly-detect on the IoT ingestion endpoint — a compromised field sensor should not be able to poison the training pipeline.</w:t>
      </w:r>
    </w:p>
    <w:p>
      <w:pPr>
        <w:pStyle w:val="Heading1"/>
        <w:spacing w:after="160" w:before="360"/>
      </w:pPr>
      <w:r>
        <w:t xml:space="preserve">6. Embedded Systems / IoT Engineering Layer</w:t>
      </w:r>
    </w:p>
    <w:p>
      <w:pPr>
        <w:pStyle w:val="Heading2"/>
        <w:spacing w:after="120" w:before="280"/>
      </w:pPr>
      <w:r>
        <w:t xml:space="preserve">6.1 Field Sensor Node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300"/>
      </w:tblGrid>
      <w:tr>
        <w:trPr>
          <w:tblHeader/>
        </w:trPr>
        <w:tc>
          <w:tcPr>
            <w:tcW w:type="dxa" w:w="1600"/>
            <w:shd w:fill="1F3864" w:val="clear"/>
            <w:tcMar>
              <w:top w:type="dxa" w:w="80"/>
              <w:left w:type="dxa" w:w="100"/>
              <w:bottom w:type="dxa" w:w="80"/>
              <w:right w:type="dxa" w:w="100"/>
            </w:tcMar>
          </w:tcPr>
          <w:p>
            <w:r>
              <w:rPr>
                <w:b/>
                <w:bCs/>
                <w:color w:val="FFFFFF"/>
                <w:sz w:val="20"/>
                <w:szCs w:val="20"/>
              </w:rPr>
              <w:t xml:space="preserve">Component</w:t>
            </w:r>
          </w:p>
        </w:tc>
        <w:tc>
          <w:tcPr>
            <w:tcW w:type="dxa" w:w="3600"/>
            <w:shd w:fill="1F3864" w:val="clear"/>
            <w:tcMar>
              <w:top w:type="dxa" w:w="80"/>
              <w:left w:type="dxa" w:w="100"/>
              <w:bottom w:type="dxa" w:w="80"/>
              <w:right w:type="dxa" w:w="100"/>
            </w:tcMar>
          </w:tcPr>
          <w:p>
            <w:r>
              <w:rPr>
                <w:b/>
                <w:bCs/>
                <w:color w:val="FFFFFF"/>
                <w:sz w:val="20"/>
                <w:szCs w:val="20"/>
              </w:rPr>
              <w:t xml:space="preserve">Recommended Part</w:t>
            </w:r>
          </w:p>
        </w:tc>
        <w:tc>
          <w:tcPr>
            <w:tcW w:type="dxa" w:w="3300"/>
            <w:shd w:fill="1F3864" w:val="clear"/>
            <w:tcMar>
              <w:top w:type="dxa" w:w="80"/>
              <w:left w:type="dxa" w:w="100"/>
              <w:bottom w:type="dxa" w:w="80"/>
              <w:right w:type="dxa" w:w="100"/>
            </w:tcMar>
          </w:tcPr>
          <w:p>
            <w:r>
              <w:rPr>
                <w:b/>
                <w:bCs/>
                <w:color w:val="FFFFFF"/>
                <w:sz w:val="20"/>
                <w:szCs w:val="20"/>
              </w:rPr>
              <w:t xml:space="preserve">Purpose</w:t>
            </w:r>
          </w:p>
        </w:tc>
      </w:tr>
      <w:tr>
        <w:tc>
          <w:tcPr>
            <w:tcW w:type="dxa" w:w="1600"/>
            <w:tcMar>
              <w:top w:type="dxa" w:w="80"/>
              <w:left w:type="dxa" w:w="100"/>
              <w:bottom w:type="dxa" w:w="80"/>
              <w:right w:type="dxa" w:w="100"/>
            </w:tcMar>
          </w:tcPr>
          <w:p>
            <w:r>
              <w:rPr>
                <w:b w:val="false"/>
                <w:bCs w:val="false"/>
                <w:color w:val="000000"/>
                <w:sz w:val="20"/>
                <w:szCs w:val="20"/>
              </w:rPr>
              <w:t xml:space="preserve">MCU</w:t>
            </w:r>
          </w:p>
        </w:tc>
        <w:tc>
          <w:tcPr>
            <w:tcW w:type="dxa" w:w="3600"/>
            <w:tcMar>
              <w:top w:type="dxa" w:w="80"/>
              <w:left w:type="dxa" w:w="100"/>
              <w:bottom w:type="dxa" w:w="80"/>
              <w:right w:type="dxa" w:w="100"/>
            </w:tcMar>
          </w:tcPr>
          <w:p>
            <w:r>
              <w:rPr>
                <w:b w:val="false"/>
                <w:bCs w:val="false"/>
                <w:color w:val="000000"/>
                <w:sz w:val="20"/>
                <w:szCs w:val="20"/>
              </w:rPr>
              <w:t xml:space="preserve">ESP32 (Wi-Fi+BLE) or STM32 + LoRa module</w:t>
            </w:r>
          </w:p>
        </w:tc>
        <w:tc>
          <w:tcPr>
            <w:tcW w:type="dxa" w:w="3300"/>
            <w:tcMar>
              <w:top w:type="dxa" w:w="80"/>
              <w:left w:type="dxa" w:w="100"/>
              <w:bottom w:type="dxa" w:w="80"/>
              <w:right w:type="dxa" w:w="100"/>
            </w:tcMar>
          </w:tcPr>
          <w:p>
            <w:r>
              <w:rPr>
                <w:b w:val="false"/>
                <w:bCs w:val="false"/>
                <w:color w:val="000000"/>
                <w:sz w:val="20"/>
                <w:szCs w:val="20"/>
              </w:rPr>
              <w:t xml:space="preserve">Low-power sensor read &amp; radio transmit</w:t>
            </w:r>
          </w:p>
        </w:tc>
      </w:tr>
      <w:tr>
        <w:tc>
          <w:tcPr>
            <w:tcW w:type="dxa" w:w="1600"/>
            <w:tcMar>
              <w:top w:type="dxa" w:w="80"/>
              <w:left w:type="dxa" w:w="100"/>
              <w:bottom w:type="dxa" w:w="80"/>
              <w:right w:type="dxa" w:w="100"/>
            </w:tcMar>
          </w:tcPr>
          <w:p>
            <w:r>
              <w:rPr>
                <w:b w:val="false"/>
                <w:bCs w:val="false"/>
                <w:color w:val="000000"/>
                <w:sz w:val="20"/>
                <w:szCs w:val="20"/>
              </w:rPr>
              <w:t xml:space="preserve">Soil moisture</w:t>
            </w:r>
          </w:p>
        </w:tc>
        <w:tc>
          <w:tcPr>
            <w:tcW w:type="dxa" w:w="3600"/>
            <w:tcMar>
              <w:top w:type="dxa" w:w="80"/>
              <w:left w:type="dxa" w:w="100"/>
              <w:bottom w:type="dxa" w:w="80"/>
              <w:right w:type="dxa" w:w="100"/>
            </w:tcMar>
          </w:tcPr>
          <w:p>
            <w:r>
              <w:rPr>
                <w:b w:val="false"/>
                <w:bCs w:val="false"/>
                <w:color w:val="000000"/>
                <w:sz w:val="20"/>
                <w:szCs w:val="20"/>
              </w:rPr>
              <w:t xml:space="preserve">Capacitive soil moisture sensor (not resistive — resists corrosion)</w:t>
            </w:r>
          </w:p>
        </w:tc>
        <w:tc>
          <w:tcPr>
            <w:tcW w:type="dxa" w:w="3300"/>
            <w:tcMar>
              <w:top w:type="dxa" w:w="80"/>
              <w:left w:type="dxa" w:w="100"/>
              <w:bottom w:type="dxa" w:w="80"/>
              <w:right w:type="dxa" w:w="100"/>
            </w:tcMar>
          </w:tcPr>
          <w:p>
            <w:r>
              <w:rPr>
                <w:b w:val="false"/>
                <w:bCs w:val="false"/>
                <w:color w:val="000000"/>
                <w:sz w:val="20"/>
                <w:szCs w:val="20"/>
              </w:rPr>
              <w:t xml:space="preserve">Irrigation &amp; drought input</w:t>
            </w:r>
          </w:p>
        </w:tc>
      </w:tr>
      <w:tr>
        <w:tc>
          <w:tcPr>
            <w:tcW w:type="dxa" w:w="1600"/>
            <w:tcMar>
              <w:top w:type="dxa" w:w="80"/>
              <w:left w:type="dxa" w:w="100"/>
              <w:bottom w:type="dxa" w:w="80"/>
              <w:right w:type="dxa" w:w="100"/>
            </w:tcMar>
          </w:tcPr>
          <w:p>
            <w:r>
              <w:rPr>
                <w:b w:val="false"/>
                <w:bCs w:val="false"/>
                <w:color w:val="000000"/>
                <w:sz w:val="20"/>
                <w:szCs w:val="20"/>
              </w:rPr>
              <w:t xml:space="preserve">Salinity/EC</w:t>
            </w:r>
          </w:p>
        </w:tc>
        <w:tc>
          <w:tcPr>
            <w:tcW w:type="dxa" w:w="3600"/>
            <w:tcMar>
              <w:top w:type="dxa" w:w="80"/>
              <w:left w:type="dxa" w:w="100"/>
              <w:bottom w:type="dxa" w:w="80"/>
              <w:right w:type="dxa" w:w="100"/>
            </w:tcMar>
          </w:tcPr>
          <w:p>
            <w:r>
              <w:rPr>
                <w:b w:val="false"/>
                <w:bCs w:val="false"/>
                <w:color w:val="000000"/>
                <w:sz w:val="20"/>
                <w:szCs w:val="20"/>
              </w:rPr>
              <w:t xml:space="preserve">Calibrated EC probe (stainless/graphite electrodes)</w:t>
            </w:r>
          </w:p>
        </w:tc>
        <w:tc>
          <w:tcPr>
            <w:tcW w:type="dxa" w:w="3300"/>
            <w:tcMar>
              <w:top w:type="dxa" w:w="80"/>
              <w:left w:type="dxa" w:w="100"/>
              <w:bottom w:type="dxa" w:w="80"/>
              <w:right w:type="dxa" w:w="100"/>
            </w:tcMar>
          </w:tcPr>
          <w:p>
            <w:r>
              <w:rPr>
                <w:b w:val="false"/>
                <w:bCs w:val="false"/>
                <w:color w:val="000000"/>
                <w:sz w:val="20"/>
                <w:szCs w:val="20"/>
              </w:rPr>
              <w:t xml:space="preserve">Salinity module input</w:t>
            </w:r>
          </w:p>
        </w:tc>
      </w:tr>
      <w:tr>
        <w:tc>
          <w:tcPr>
            <w:tcW w:type="dxa" w:w="1600"/>
            <w:tcMar>
              <w:top w:type="dxa" w:w="80"/>
              <w:left w:type="dxa" w:w="100"/>
              <w:bottom w:type="dxa" w:w="80"/>
              <w:right w:type="dxa" w:w="100"/>
            </w:tcMar>
          </w:tcPr>
          <w:p>
            <w:r>
              <w:rPr>
                <w:b w:val="false"/>
                <w:bCs w:val="false"/>
                <w:color w:val="000000"/>
                <w:sz w:val="20"/>
                <w:szCs w:val="20"/>
              </w:rPr>
              <w:t xml:space="preserve">Soil pH / NPK</w:t>
            </w:r>
          </w:p>
        </w:tc>
        <w:tc>
          <w:tcPr>
            <w:tcW w:type="dxa" w:w="3600"/>
            <w:tcMar>
              <w:top w:type="dxa" w:w="80"/>
              <w:left w:type="dxa" w:w="100"/>
              <w:bottom w:type="dxa" w:w="80"/>
              <w:right w:type="dxa" w:w="100"/>
            </w:tcMar>
          </w:tcPr>
          <w:p>
            <w:r>
              <w:rPr>
                <w:b w:val="false"/>
                <w:bCs w:val="false"/>
                <w:color w:val="000000"/>
                <w:sz w:val="20"/>
                <w:szCs w:val="20"/>
              </w:rPr>
              <w:t xml:space="preserve">Ion-selective electrode (ISE) module or periodic lab-strip calibration</w:t>
            </w:r>
          </w:p>
        </w:tc>
        <w:tc>
          <w:tcPr>
            <w:tcW w:type="dxa" w:w="3300"/>
            <w:tcMar>
              <w:top w:type="dxa" w:w="80"/>
              <w:left w:type="dxa" w:w="100"/>
              <w:bottom w:type="dxa" w:w="80"/>
              <w:right w:type="dxa" w:w="100"/>
            </w:tcMar>
          </w:tcPr>
          <w:p>
            <w:r>
              <w:rPr>
                <w:b w:val="false"/>
                <w:bCs w:val="false"/>
                <w:color w:val="000000"/>
                <w:sz w:val="20"/>
                <w:szCs w:val="20"/>
              </w:rPr>
              <w:t xml:space="preserve">Chemical module input</w:t>
            </w:r>
          </w:p>
        </w:tc>
      </w:tr>
      <w:tr>
        <w:tc>
          <w:tcPr>
            <w:tcW w:type="dxa" w:w="1600"/>
            <w:tcMar>
              <w:top w:type="dxa" w:w="80"/>
              <w:left w:type="dxa" w:w="100"/>
              <w:bottom w:type="dxa" w:w="80"/>
              <w:right w:type="dxa" w:w="100"/>
            </w:tcMar>
          </w:tcPr>
          <w:p>
            <w:r>
              <w:rPr>
                <w:b w:val="false"/>
                <w:bCs w:val="false"/>
                <w:color w:val="000000"/>
                <w:sz w:val="20"/>
                <w:szCs w:val="20"/>
              </w:rPr>
              <w:t xml:space="preserve">Ambient</w:t>
            </w:r>
          </w:p>
        </w:tc>
        <w:tc>
          <w:tcPr>
            <w:tcW w:type="dxa" w:w="3600"/>
            <w:tcMar>
              <w:top w:type="dxa" w:w="80"/>
              <w:left w:type="dxa" w:w="100"/>
              <w:bottom w:type="dxa" w:w="80"/>
              <w:right w:type="dxa" w:w="100"/>
            </w:tcMar>
          </w:tcPr>
          <w:p>
            <w:r>
              <w:rPr>
                <w:b w:val="false"/>
                <w:bCs w:val="false"/>
                <w:color w:val="000000"/>
                <w:sz w:val="20"/>
                <w:szCs w:val="20"/>
              </w:rPr>
              <w:t xml:space="preserve">BME280 (temp/humidity/pressure)</w:t>
            </w:r>
          </w:p>
        </w:tc>
        <w:tc>
          <w:tcPr>
            <w:tcW w:type="dxa" w:w="3300"/>
            <w:tcMar>
              <w:top w:type="dxa" w:w="80"/>
              <w:left w:type="dxa" w:w="100"/>
              <w:bottom w:type="dxa" w:w="80"/>
              <w:right w:type="dxa" w:w="100"/>
            </w:tcMar>
          </w:tcPr>
          <w:p>
            <w:r>
              <w:rPr>
                <w:b w:val="false"/>
                <w:bCs w:val="false"/>
                <w:color w:val="000000"/>
                <w:sz w:val="20"/>
                <w:szCs w:val="20"/>
              </w:rPr>
              <w:t xml:space="preserve">Local microclimate cross-check vs. BMD forecast</w:t>
            </w:r>
          </w:p>
        </w:tc>
      </w:tr>
      <w:tr>
        <w:tc>
          <w:tcPr>
            <w:tcW w:type="dxa" w:w="1600"/>
            <w:tcMar>
              <w:top w:type="dxa" w:w="80"/>
              <w:left w:type="dxa" w:w="100"/>
              <w:bottom w:type="dxa" w:w="80"/>
              <w:right w:type="dxa" w:w="100"/>
            </w:tcMar>
          </w:tcPr>
          <w:p>
            <w:r>
              <w:rPr>
                <w:b w:val="false"/>
                <w:bCs w:val="false"/>
                <w:color w:val="000000"/>
                <w:sz w:val="20"/>
                <w:szCs w:val="20"/>
              </w:rPr>
              <w:t xml:space="preserve">Power</w:t>
            </w:r>
          </w:p>
        </w:tc>
        <w:tc>
          <w:tcPr>
            <w:tcW w:type="dxa" w:w="3600"/>
            <w:tcMar>
              <w:top w:type="dxa" w:w="80"/>
              <w:left w:type="dxa" w:w="100"/>
              <w:bottom w:type="dxa" w:w="80"/>
              <w:right w:type="dxa" w:w="100"/>
            </w:tcMar>
          </w:tcPr>
          <w:p>
            <w:r>
              <w:rPr>
                <w:b w:val="false"/>
                <w:bCs w:val="false"/>
                <w:color w:val="000000"/>
                <w:sz w:val="20"/>
                <w:szCs w:val="20"/>
              </w:rPr>
              <w:t xml:space="preserve">5–10W solar panel + LiFePO4 battery + charge controller</w:t>
            </w:r>
          </w:p>
        </w:tc>
        <w:tc>
          <w:tcPr>
            <w:tcW w:type="dxa" w:w="3300"/>
            <w:tcMar>
              <w:top w:type="dxa" w:w="80"/>
              <w:left w:type="dxa" w:w="100"/>
              <w:bottom w:type="dxa" w:w="80"/>
              <w:right w:type="dxa" w:w="100"/>
            </w:tcMar>
          </w:tcPr>
          <w:p>
            <w:r>
              <w:rPr>
                <w:b w:val="false"/>
                <w:bCs w:val="false"/>
                <w:color w:val="000000"/>
                <w:sz w:val="20"/>
                <w:szCs w:val="20"/>
              </w:rPr>
              <w:t xml:space="preserve">Off-grid, monsoon-tolerant power</w:t>
            </w:r>
          </w:p>
        </w:tc>
      </w:tr>
      <w:tr>
        <w:tc>
          <w:tcPr>
            <w:tcW w:type="dxa" w:w="1600"/>
            <w:tcMar>
              <w:top w:type="dxa" w:w="80"/>
              <w:left w:type="dxa" w:w="100"/>
              <w:bottom w:type="dxa" w:w="80"/>
              <w:right w:type="dxa" w:w="100"/>
            </w:tcMar>
          </w:tcPr>
          <w:p>
            <w:r>
              <w:rPr>
                <w:b w:val="false"/>
                <w:bCs w:val="false"/>
                <w:color w:val="000000"/>
                <w:sz w:val="20"/>
                <w:szCs w:val="20"/>
              </w:rPr>
              <w:t xml:space="preserve">Radio</w:t>
            </w:r>
          </w:p>
        </w:tc>
        <w:tc>
          <w:tcPr>
            <w:tcW w:type="dxa" w:w="3600"/>
            <w:tcMar>
              <w:top w:type="dxa" w:w="80"/>
              <w:left w:type="dxa" w:w="100"/>
              <w:bottom w:type="dxa" w:w="80"/>
              <w:right w:type="dxa" w:w="100"/>
            </w:tcMar>
          </w:tcPr>
          <w:p>
            <w:r>
              <w:rPr>
                <w:b w:val="false"/>
                <w:bCs w:val="false"/>
                <w:color w:val="000000"/>
                <w:sz w:val="20"/>
                <w:szCs w:val="20"/>
              </w:rPr>
              <w:t xml:space="preserve">LoRa (SX1276) to a community gateway; GSM/SIM800L as fallback</w:t>
            </w:r>
          </w:p>
        </w:tc>
        <w:tc>
          <w:tcPr>
            <w:tcW w:type="dxa" w:w="3300"/>
            <w:tcMar>
              <w:top w:type="dxa" w:w="80"/>
              <w:left w:type="dxa" w:w="100"/>
              <w:bottom w:type="dxa" w:w="80"/>
              <w:right w:type="dxa" w:w="100"/>
            </w:tcMar>
          </w:tcPr>
          <w:p>
            <w:r>
              <w:rPr>
                <w:b w:val="false"/>
                <w:bCs w:val="false"/>
                <w:color w:val="000000"/>
                <w:sz w:val="20"/>
                <w:szCs w:val="20"/>
              </w:rPr>
              <w:t xml:space="preserve">Long-range, low-power uplink</w:t>
            </w:r>
          </w:p>
        </w:tc>
      </w:tr>
      <w:tr>
        <w:tc>
          <w:tcPr>
            <w:tcW w:type="dxa" w:w="1600"/>
            <w:tcMar>
              <w:top w:type="dxa" w:w="80"/>
              <w:left w:type="dxa" w:w="100"/>
              <w:bottom w:type="dxa" w:w="80"/>
              <w:right w:type="dxa" w:w="100"/>
            </w:tcMar>
          </w:tcPr>
          <w:p>
            <w:r>
              <w:rPr>
                <w:b w:val="false"/>
                <w:bCs w:val="false"/>
                <w:color w:val="000000"/>
                <w:sz w:val="20"/>
                <w:szCs w:val="20"/>
              </w:rPr>
              <w:t xml:space="preserve">Enclosure</w:t>
            </w:r>
          </w:p>
        </w:tc>
        <w:tc>
          <w:tcPr>
            <w:tcW w:type="dxa" w:w="3600"/>
            <w:tcMar>
              <w:top w:type="dxa" w:w="80"/>
              <w:left w:type="dxa" w:w="100"/>
              <w:bottom w:type="dxa" w:w="80"/>
              <w:right w:type="dxa" w:w="100"/>
            </w:tcMar>
          </w:tcPr>
          <w:p>
            <w:r>
              <w:rPr>
                <w:b w:val="false"/>
                <w:bCs w:val="false"/>
                <w:color w:val="000000"/>
                <w:sz w:val="20"/>
                <w:szCs w:val="20"/>
              </w:rPr>
              <w:t xml:space="preserve">IP65/IP67 rated, UV-stable plastic</w:t>
            </w:r>
          </w:p>
        </w:tc>
        <w:tc>
          <w:tcPr>
            <w:tcW w:type="dxa" w:w="3300"/>
            <w:tcMar>
              <w:top w:type="dxa" w:w="80"/>
              <w:left w:type="dxa" w:w="100"/>
              <w:bottom w:type="dxa" w:w="80"/>
              <w:right w:type="dxa" w:w="100"/>
            </w:tcMar>
          </w:tcPr>
          <w:p>
            <w:r>
              <w:rPr>
                <w:b w:val="false"/>
                <w:bCs w:val="false"/>
                <w:color w:val="000000"/>
                <w:sz w:val="20"/>
                <w:szCs w:val="20"/>
              </w:rPr>
              <w:t xml:space="preserve">Survive monsoon humidity and flooding</w:t>
            </w:r>
          </w:p>
        </w:tc>
      </w:tr>
    </w:tbl>
    <w:p>
      <w:pPr>
        <w:pStyle w:val="Heading2"/>
        <w:spacing w:after="120" w:before="280"/>
      </w:pPr>
      <w:r>
        <w:t xml:space="preserve">6.2 Community Hub Gateway</w:t>
      </w:r>
    </w:p>
    <w:p>
      <w:pPr>
        <w:spacing w:after="160" w:line="300"/>
        <w:jc w:val="both"/>
      </w:pPr>
      <w:r>
        <w:t xml:space="preserve">Rather than giving every farmer a cellular-connected sensor (expensive), each community hub (serving 10–20 farmers, matching the architecture in the source documents) uses one gateway device — a Raspberry Pi or industrial LoRaWAN gateway — that aggregates all nearby field nodes over LoRa and relays to the cloud over a single 4G/3G connection. This is the single biggest cost-reduction lever in the entire system: it turns an N-farmer cellular-data cost into a 1-gateway cellular-data cost.</w:t>
      </w:r>
    </w:p>
    <w:p>
      <w:pPr>
        <w:pStyle w:val="Heading2"/>
        <w:spacing w:after="120" w:before="280"/>
      </w:pPr>
      <w:r>
        <w:t xml:space="preserve">6.3 Power Budgeting</w:t>
      </w:r>
    </w:p>
    <w:p>
      <w:pPr>
        <w:spacing w:after="160" w:line="300"/>
        <w:jc w:val="both"/>
      </w:pPr>
      <w:r>
        <w:t xml:space="preserve">A LoRa sensor node reporting every 30–60 minutes typically draws well under 1W average with deep-sleep duty cycling, so a modest solar panel plus a small LiFePO4 cell can sustain it through Bangladesh's monsoon cloud cover with a few days of battery autonomy in reserve — the main engineering task is deep-sleep firmware discipline, not panel size.</w:t>
      </w:r>
    </w:p>
    <w:p>
      <w:pPr>
        <w:pStyle w:val="Heading2"/>
        <w:spacing w:after="120" w:before="280"/>
      </w:pPr>
      <w:r>
        <w:t xml:space="preserve">6.4 Durability &amp; Maintenance</w:t>
      </w:r>
    </w:p>
    <w:p>
      <w:pPr>
        <w:pStyle w:val="ListParagraph"/>
        <w:numPr>
          <w:ilvl w:val="0"/>
          <w:numId w:val="2"/>
        </w:numPr>
        <w:spacing w:after="80"/>
      </w:pPr>
      <w:r>
        <w:t xml:space="preserve">Electrodes (EC/pH) foul with biofilm and silt in paddy conditions — plan a field-cleaning/recalibration cycle (roughly every 4–8 weeks in wet season) as an operating cost, not a one-time task.</w:t>
      </w:r>
    </w:p>
    <w:p>
      <w:pPr>
        <w:pStyle w:val="ListParagraph"/>
        <w:numPr>
          <w:ilvl w:val="0"/>
          <w:numId w:val="2"/>
        </w:numPr>
        <w:spacing w:after="80"/>
      </w:pPr>
      <w:r>
        <w:t xml:space="preserve">Enclosures must tolerate submersion during flash floods, not just rain — this pushes toward IP67 and elevated/tethered mounting rather than ground-flush installation.</w:t>
      </w:r>
    </w:p>
    <w:p>
      <w:pPr>
        <w:pStyle w:val="ListParagraph"/>
        <w:numPr>
          <w:ilvl w:val="0"/>
          <w:numId w:val="2"/>
        </w:numPr>
        <w:spacing w:after="80"/>
      </w:pPr>
      <w:r>
        <w:t xml:space="preserve">Lightning and surge protection on the gateway is non-optional given open-field deployment.</w:t>
      </w:r>
    </w:p>
    <w:p>
      <w:pPr>
        <w:pStyle w:val="Heading1"/>
        <w:spacing w:after="160" w:before="360"/>
      </w:pPr>
      <w:r>
        <w:t xml:space="preserve">7. Soil &amp; Water Chemistry Component</w:t>
      </w:r>
    </w:p>
    <w:p>
      <w:pPr>
        <w:spacing w:after="160" w:line="300"/>
        <w:jc w:val="both"/>
      </w:pPr>
      <w:r>
        <w:t xml:space="preserve">Salinity sensing rests on electrical conductivity (EC): dissolved ionic salts increase the electrical conductivity of the soil-water solution roughly in proportion to salt content, which is why an EC probe is a reasonable low-cost proxy for the lab-standard measurement. Nutrient (NPK) sensing is chemically harder: nitrate, phosphate and potassium each need a different ion-selective electrode or colorimetric reagent, and these electrodes drift and require more frequent recalibration than an EC probe.</w:t>
      </w:r>
    </w:p>
    <w:p>
      <w:pPr>
        <w:pStyle w:val="Heading2"/>
        <w:spacing w:after="120" w:before="280"/>
      </w:pPr>
      <w:r>
        <w:t xml:space="preserve">7.1 Recommended Chemistry Approach by Phase</w:t>
      </w:r>
    </w:p>
    <w:p>
      <w:pPr>
        <w:pStyle w:val="ListParagraph"/>
        <w:numPr>
          <w:ilvl w:val="0"/>
          <w:numId w:val="2"/>
        </w:numPr>
        <w:spacing w:after="80"/>
      </w:pPr>
      <w:r>
        <w:t xml:space="preserve">Phase 1: EC-only sensing (salinity) — cheapest, most robust, directly usable by the Salinity AI module.</w:t>
      </w:r>
    </w:p>
    <w:p>
      <w:pPr>
        <w:pStyle w:val="ListParagraph"/>
        <w:numPr>
          <w:ilvl w:val="0"/>
          <w:numId w:val="2"/>
        </w:numPr>
        <w:spacing w:after="80"/>
      </w:pPr>
      <w:r>
        <w:t xml:space="preserve">Phase 2: add periodic (not continuous) NPK testing via portable colorimetric kits or lab partnership with BARI/BRRI soil labs, used to calibrate and validate the Chemical AI module rather than to feed it in real time.</w:t>
      </w:r>
    </w:p>
    <w:p>
      <w:pPr>
        <w:pStyle w:val="ListParagraph"/>
        <w:numPr>
          <w:ilvl w:val="0"/>
          <w:numId w:val="2"/>
        </w:numPr>
        <w:spacing w:after="80"/>
      </w:pPr>
      <w:r>
        <w:t xml:space="preserve">Phase 3: continuous ISE-based NPK sensing once field-durability and cost are proven at pilot scale.</w:t>
      </w:r>
    </w:p>
    <w:p>
      <w:pPr>
        <w:pStyle w:val="Heading2"/>
        <w:spacing w:after="120" w:before="280"/>
      </w:pPr>
      <w:r>
        <w:t xml:space="preserve">7.2 Chemical Degradation Modeling</w:t>
      </w:r>
    </w:p>
    <w:p>
      <w:pPr>
        <w:spacing w:after="160" w:line="300"/>
        <w:jc w:val="both"/>
      </w:pPr>
      <w:r>
        <w:t xml:space="preserve">The Chemical AI module's core scientific basis is nutrient-imbalance and toxicity modeling: excess nitrogen fertilizer both leaches into waterways (eutrophication risk) and can shift soil pH over successive seasons, while sustained irrigation with saline or brackish water raises the exchangeable sodium fraction in the soil, compounding the salinity problem the platform is trying to solve. Modeling these as slow, cumulative processes (season-over-season trend, not single readings) is scientifically more defensible than treating any one reading as diagnostic.</w:t>
      </w:r>
    </w:p>
    <w:p>
      <w:pPr>
        <w:pStyle w:val="Heading1"/>
        <w:spacing w:after="160" w:before="360"/>
      </w:pPr>
      <w:r>
        <w:t xml:space="preserve">8. Weather &amp; Climate Science Component</w:t>
      </w:r>
    </w:p>
    <w:p>
      <w:pPr>
        <w:pStyle w:val="Heading2"/>
        <w:spacing w:after="120" w:before="280"/>
      </w:pPr>
      <w:r>
        <w:t xml:space="preserve">8.1 Satellite Data Selection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Satellite/Band</w:t>
            </w:r>
          </w:p>
        </w:tc>
        <w:tc>
          <w:tcPr>
            <w:tcW w:type="dxa" w:w="5800"/>
            <w:shd w:fill="1F3864" w:val="clear"/>
            <w:tcMar>
              <w:top w:type="dxa" w:w="80"/>
              <w:left w:type="dxa" w:w="100"/>
              <w:bottom w:type="dxa" w:w="80"/>
              <w:right w:type="dxa" w:w="100"/>
            </w:tcMar>
          </w:tcPr>
          <w:p>
            <w:r>
              <w:rPr>
                <w:b/>
                <w:bCs/>
                <w:color w:val="FFFFFF"/>
                <w:sz w:val="20"/>
                <w:szCs w:val="20"/>
              </w:rPr>
              <w:t xml:space="preserve">Why It Matters for Bangladesh</w:t>
            </w:r>
          </w:p>
        </w:tc>
      </w:tr>
      <w:tr>
        <w:tc>
          <w:tcPr>
            <w:tcW w:type="dxa" w:w="3200"/>
            <w:tcMar>
              <w:top w:type="dxa" w:w="80"/>
              <w:left w:type="dxa" w:w="100"/>
              <w:bottom w:type="dxa" w:w="80"/>
              <w:right w:type="dxa" w:w="100"/>
            </w:tcMar>
          </w:tcPr>
          <w:p>
            <w:r>
              <w:rPr>
                <w:b w:val="false"/>
                <w:bCs w:val="false"/>
                <w:color w:val="000000"/>
                <w:sz w:val="20"/>
                <w:szCs w:val="20"/>
              </w:rPr>
              <w:t xml:space="preserve">Sentinel-1 (C-band SAR)</w:t>
            </w:r>
          </w:p>
        </w:tc>
        <w:tc>
          <w:tcPr>
            <w:tcW w:type="dxa" w:w="5800"/>
            <w:tcMar>
              <w:top w:type="dxa" w:w="80"/>
              <w:left w:type="dxa" w:w="100"/>
              <w:bottom w:type="dxa" w:w="80"/>
              <w:right w:type="dxa" w:w="100"/>
            </w:tcMar>
          </w:tcPr>
          <w:p>
            <w:r>
              <w:rPr>
                <w:b w:val="false"/>
                <w:bCs w:val="false"/>
                <w:color w:val="000000"/>
                <w:sz w:val="20"/>
                <w:szCs w:val="20"/>
              </w:rPr>
              <w:t xml:space="preserve">Radar penetrates monsoon cloud cover, so flood extent can still be mapped when optical imagery cannot — critical given Bangladesh's cloud-heavy flood season.</w:t>
            </w:r>
          </w:p>
        </w:tc>
      </w:tr>
      <w:tr>
        <w:tc>
          <w:tcPr>
            <w:tcW w:type="dxa" w:w="3200"/>
            <w:tcMar>
              <w:top w:type="dxa" w:w="80"/>
              <w:left w:type="dxa" w:w="100"/>
              <w:bottom w:type="dxa" w:w="80"/>
              <w:right w:type="dxa" w:w="100"/>
            </w:tcMar>
          </w:tcPr>
          <w:p>
            <w:r>
              <w:rPr>
                <w:b w:val="false"/>
                <w:bCs w:val="false"/>
                <w:color w:val="000000"/>
                <w:sz w:val="20"/>
                <w:szCs w:val="20"/>
              </w:rPr>
              <w:t xml:space="preserve">Sentinel-2 (optical, NDVI/NDWI)</w:t>
            </w:r>
          </w:p>
        </w:tc>
        <w:tc>
          <w:tcPr>
            <w:tcW w:type="dxa" w:w="5800"/>
            <w:tcMar>
              <w:top w:type="dxa" w:w="80"/>
              <w:left w:type="dxa" w:w="100"/>
              <w:bottom w:type="dxa" w:w="80"/>
              <w:right w:type="dxa" w:w="100"/>
            </w:tcMar>
          </w:tcPr>
          <w:p>
            <w:r>
              <w:rPr>
                <w:b w:val="false"/>
                <w:bCs w:val="false"/>
                <w:color w:val="000000"/>
                <w:sz w:val="20"/>
                <w:szCs w:val="20"/>
              </w:rPr>
              <w:t xml:space="preserve">Vegetation health and surface-water indices for crop-stress and waterlogging detection between cloud gaps.</w:t>
            </w:r>
          </w:p>
        </w:tc>
      </w:tr>
      <w:tr>
        <w:tc>
          <w:tcPr>
            <w:tcW w:type="dxa" w:w="3200"/>
            <w:tcMar>
              <w:top w:type="dxa" w:w="80"/>
              <w:left w:type="dxa" w:w="100"/>
              <w:bottom w:type="dxa" w:w="80"/>
              <w:right w:type="dxa" w:w="100"/>
            </w:tcMar>
          </w:tcPr>
          <w:p>
            <w:r>
              <w:rPr>
                <w:b w:val="false"/>
                <w:bCs w:val="false"/>
                <w:color w:val="000000"/>
                <w:sz w:val="20"/>
                <w:szCs w:val="20"/>
              </w:rPr>
              <w:t xml:space="preserve">Landsat 8/9 (thermal)</w:t>
            </w:r>
          </w:p>
        </w:tc>
        <w:tc>
          <w:tcPr>
            <w:tcW w:type="dxa" w:w="5800"/>
            <w:tcMar>
              <w:top w:type="dxa" w:w="80"/>
              <w:left w:type="dxa" w:w="100"/>
              <w:bottom w:type="dxa" w:w="80"/>
              <w:right w:type="dxa" w:w="100"/>
            </w:tcMar>
          </w:tcPr>
          <w:p>
            <w:r>
              <w:rPr>
                <w:b w:val="false"/>
                <w:bCs w:val="false"/>
                <w:color w:val="000000"/>
                <w:sz w:val="20"/>
                <w:szCs w:val="20"/>
              </w:rPr>
              <w:t xml:space="preserve">Land-surface temperature and long-baseline change detection for drought and land-degradation trends.</w:t>
            </w:r>
          </w:p>
        </w:tc>
      </w:tr>
      <w:tr>
        <w:tc>
          <w:tcPr>
            <w:tcW w:type="dxa" w:w="3200"/>
            <w:tcMar>
              <w:top w:type="dxa" w:w="80"/>
              <w:left w:type="dxa" w:w="100"/>
              <w:bottom w:type="dxa" w:w="80"/>
              <w:right w:type="dxa" w:w="100"/>
            </w:tcMar>
          </w:tcPr>
          <w:p>
            <w:r>
              <w:rPr>
                <w:b w:val="false"/>
                <w:bCs w:val="false"/>
                <w:color w:val="000000"/>
                <w:sz w:val="20"/>
                <w:szCs w:val="20"/>
              </w:rPr>
              <w:t xml:space="preserve">ERA5 reanalysis</w:t>
            </w:r>
          </w:p>
        </w:tc>
        <w:tc>
          <w:tcPr>
            <w:tcW w:type="dxa" w:w="5800"/>
            <w:tcMar>
              <w:top w:type="dxa" w:w="80"/>
              <w:left w:type="dxa" w:w="100"/>
              <w:bottom w:type="dxa" w:w="80"/>
              <w:right w:type="dxa" w:w="100"/>
            </w:tcMar>
          </w:tcPr>
          <w:p>
            <w:r>
              <w:rPr>
                <w:b w:val="false"/>
                <w:bCs w:val="false"/>
                <w:color w:val="000000"/>
                <w:sz w:val="20"/>
                <w:szCs w:val="20"/>
              </w:rPr>
              <w:t xml:space="preserve">Historical climate baseline to train and validate models before enough local sensor history exists.</w:t>
            </w:r>
          </w:p>
        </w:tc>
      </w:tr>
    </w:tbl>
    <w:p>
      <w:pPr>
        <w:pStyle w:val="Heading2"/>
        <w:spacing w:after="120" w:before="280"/>
      </w:pPr>
      <w:r>
        <w:t xml:space="preserve">8.2 From Forecast to Advisory</w:t>
      </w:r>
    </w:p>
    <w:p>
      <w:pPr>
        <w:spacing w:after="160" w:line="300"/>
        <w:jc w:val="both"/>
      </w:pPr>
      <w:r>
        <w:t xml:space="preserve">The Weather AI's value is the translation step: combining a rainfall/temperature forecast with the specific crop and its current growth stage to produce an action (e.g., delay fertilizer, protect flowering stage) rather than a raw number. This requires a crop-growth-stage calendar per major crop/region as a structured input — a dataset the project must assemble with DAE/BARI agronomists, since it does not exist in a ready-made public form.</w:t>
      </w:r>
    </w:p>
    <w:p>
      <w:pPr>
        <w:pStyle w:val="Heading2"/>
        <w:spacing w:after="120" w:before="280"/>
      </w:pPr>
      <w:r>
        <w:t xml:space="preserve">8.3 Downscaling Limitation</w:t>
      </w:r>
    </w:p>
    <w:p>
      <w:pPr>
        <w:spacing w:after="160" w:line="300"/>
        <w:jc w:val="both"/>
      </w:pPr>
      <w:r>
        <w:t xml:space="preserve">Bangladesh Meteorological Department forecasts and global weather APIs are at district/regional resolution, while salinity and flood risk are highly local (a single upazila can have sharply different exposure). Statistical downscaling using local sensor readings as ground truth is necessary before farm-level forecasts can be trusted — this is a multi-season calibration task, not a one-time integration.</w:t>
      </w:r>
    </w:p>
    <w:p>
      <w:pPr>
        <w:pStyle w:val="Heading1"/>
        <w:spacing w:after="160" w:before="360"/>
      </w:pPr>
      <w:r>
        <w:t xml:space="preserve">9. Nanotechnology Component (Forward-Looking R&amp;D Layer)</w:t>
      </w:r>
    </w:p>
    <w:p>
      <w:pPr>
        <w:spacing w:after="160" w:line="300"/>
        <w:jc w:val="both"/>
      </w:pPr>
      <w:r>
        <w:t xml:space="preserve">Nanotechnology is not part of a realistic MVP, but it is a legitimate longer-horizon upgrade path once the core platform is validated, and is presented here as a distinct research track rather than a near-term deliverable.</w:t>
      </w:r>
    </w:p>
    <w:p>
      <w:pPr>
        <w:pStyle w:val="ListParagraph"/>
        <w:numPr>
          <w:ilvl w:val="0"/>
          <w:numId w:val="2"/>
        </w:numPr>
        <w:spacing w:after="80"/>
      </w:pPr>
      <w:r>
        <w:t xml:space="preserve">Nanostructured metal-oxide (ZnO, TiO2) thin-film electrodes can raise EC/ion sensitivity and lower detection limits versus standard probes, potentially improving early-warning lead time for salinity.</w:t>
      </w:r>
    </w:p>
    <w:p>
      <w:pPr>
        <w:pStyle w:val="ListParagraph"/>
        <w:numPr>
          <w:ilvl w:val="0"/>
          <w:numId w:val="2"/>
        </w:numPr>
        <w:spacing w:after="80"/>
      </w:pPr>
      <w:r>
        <w:t xml:space="preserve">Nanomaterial (e.g., graphene oxide) coatings on electrodes resist biofouling better than bare metal, which directly addresses the maintenance burden identified in Section 6.4.</w:t>
      </w:r>
    </w:p>
    <w:p>
      <w:pPr>
        <w:pStyle w:val="ListParagraph"/>
        <w:numPr>
          <w:ilvl w:val="0"/>
          <w:numId w:val="2"/>
        </w:numPr>
        <w:spacing w:after="80"/>
      </w:pPr>
      <w:r>
        <w:t xml:space="preserve">As Bangladesh's fertilizer sector explores nano-urea and nano-fertilizers, nanoparticle-sensitive sensors could eventually let the Chemical AI module track nano-fertilizer uptake, not just conventional NPK.</w:t>
      </w:r>
    </w:p>
    <w:p>
      <w:pPr>
        <w:pStyle w:val="ListParagraph"/>
        <w:numPr>
          <w:ilvl w:val="0"/>
          <w:numId w:val="2"/>
        </w:numPr>
        <w:spacing w:after="80"/>
      </w:pPr>
      <w:r>
        <w:t xml:space="preserve">Quantum-dot or nanomaterial-based optical sensors are an emerging low-cost path to multi-analyte water-quality testing (arsenic, heavy metals), relevant given Bangladesh's known groundwater arsenic issue.</w:t>
      </w:r>
    </w:p>
    <w:p>
      <w:pPr>
        <w:spacing w:after="200"/>
      </w:pPr>
      <w:r>
        <w:rPr>
          <w:i/>
          <w:iCs/>
          <w:color w:val="595959"/>
          <w:sz w:val="20"/>
          <w:szCs w:val="20"/>
        </w:rPr>
        <w:t xml:space="preserve">Caveat: nanomaterial sensors are not yet manufactured or supported at scale within Bangladesh, so Phase 1–2 should not depend on them. The realistic path is a university research partnership (e.g., BUET materials science departments) prototyping nano-enhanced electrodes in parallel with the conventional Phase 1–2 rollout, so the technology is field-ready by Phase 3 rather than blocking Phase 1.</w:t>
      </w:r>
    </w:p>
    <w:p>
      <w:pPr>
        <w:pStyle w:val="Heading1"/>
        <w:spacing w:after="160" w:before="360"/>
      </w:pPr>
      <w:r>
        <w:t xml:space="preserve">10. Data Availability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Data Type</w:t>
            </w:r>
          </w:p>
        </w:tc>
        <w:tc>
          <w:tcPr>
            <w:tcW w:type="dxa" w:w="2200"/>
            <w:shd w:fill="1F3864" w:val="clear"/>
            <w:tcMar>
              <w:top w:type="dxa" w:w="80"/>
              <w:left w:type="dxa" w:w="100"/>
              <w:bottom w:type="dxa" w:w="80"/>
              <w:right w:type="dxa" w:w="100"/>
            </w:tcMar>
          </w:tcPr>
          <w:p>
            <w:r>
              <w:rPr>
                <w:b/>
                <w:bCs/>
                <w:color w:val="FFFFFF"/>
                <w:sz w:val="20"/>
                <w:szCs w:val="20"/>
              </w:rPr>
              <w:t xml:space="preserve">Source</w:t>
            </w:r>
          </w:p>
        </w:tc>
        <w:tc>
          <w:tcPr>
            <w:tcW w:type="dxa" w:w="2200"/>
            <w:shd w:fill="1F3864" w:val="clear"/>
            <w:tcMar>
              <w:top w:type="dxa" w:w="80"/>
              <w:left w:type="dxa" w:w="100"/>
              <w:bottom w:type="dxa" w:w="80"/>
              <w:right w:type="dxa" w:w="100"/>
            </w:tcMar>
          </w:tcPr>
          <w:p>
            <w:r>
              <w:rPr>
                <w:b/>
                <w:bCs/>
                <w:color w:val="FFFFFF"/>
                <w:sz w:val="20"/>
                <w:szCs w:val="20"/>
              </w:rPr>
              <w:t xml:space="preserve">Access</w:t>
            </w:r>
          </w:p>
        </w:tc>
        <w:tc>
          <w:tcPr>
            <w:tcW w:type="dxa" w:w="2400"/>
            <w:shd w:fill="1F3864" w:val="clear"/>
            <w:tcMar>
              <w:top w:type="dxa" w:w="80"/>
              <w:left w:type="dxa" w:w="100"/>
              <w:bottom w:type="dxa" w:w="80"/>
              <w:right w:type="dxa" w:w="100"/>
            </w:tcMar>
          </w:tcPr>
          <w:p>
            <w:r>
              <w:rPr>
                <w:b/>
                <w:bCs/>
                <w:color w:val="FFFFFF"/>
                <w:sz w:val="20"/>
                <w:szCs w:val="20"/>
              </w:rPr>
              <w:t xml:space="preserve">Gaps / Reliability Notes</w:t>
            </w:r>
          </w:p>
        </w:tc>
      </w:tr>
      <w:tr>
        <w:tc>
          <w:tcPr>
            <w:tcW w:type="dxa" w:w="2200"/>
            <w:tcMar>
              <w:top w:type="dxa" w:w="80"/>
              <w:left w:type="dxa" w:w="100"/>
              <w:bottom w:type="dxa" w:w="80"/>
              <w:right w:type="dxa" w:w="100"/>
            </w:tcMar>
          </w:tcPr>
          <w:p>
            <w:r>
              <w:rPr>
                <w:b w:val="false"/>
                <w:bCs w:val="false"/>
                <w:color w:val="000000"/>
                <w:sz w:val="20"/>
                <w:szCs w:val="20"/>
              </w:rPr>
              <w:t xml:space="preserve">Satellite imagery</w:t>
            </w:r>
          </w:p>
        </w:tc>
        <w:tc>
          <w:tcPr>
            <w:tcW w:type="dxa" w:w="2200"/>
            <w:tcMar>
              <w:top w:type="dxa" w:w="80"/>
              <w:left w:type="dxa" w:w="100"/>
              <w:bottom w:type="dxa" w:w="80"/>
              <w:right w:type="dxa" w:w="100"/>
            </w:tcMar>
          </w:tcPr>
          <w:p>
            <w:r>
              <w:rPr>
                <w:b w:val="false"/>
                <w:bCs w:val="false"/>
                <w:color w:val="000000"/>
                <w:sz w:val="20"/>
                <w:szCs w:val="20"/>
              </w:rPr>
              <w:t xml:space="preserve">Sentinel-1/2, Landsat (ESA/USGS)</w:t>
            </w:r>
          </w:p>
        </w:tc>
        <w:tc>
          <w:tcPr>
            <w:tcW w:type="dxa" w:w="2200"/>
            <w:tcMar>
              <w:top w:type="dxa" w:w="80"/>
              <w:left w:type="dxa" w:w="100"/>
              <w:bottom w:type="dxa" w:w="80"/>
              <w:right w:type="dxa" w:w="100"/>
            </w:tcMar>
          </w:tcPr>
          <w:p>
            <w:r>
              <w:rPr>
                <w:b w:val="false"/>
                <w:bCs w:val="false"/>
                <w:color w:val="000000"/>
                <w:sz w:val="20"/>
                <w:szCs w:val="20"/>
              </w:rPr>
              <w:t xml:space="preserve">Free, public, API/portal</w:t>
            </w:r>
          </w:p>
        </w:tc>
        <w:tc>
          <w:tcPr>
            <w:tcW w:type="dxa" w:w="2400"/>
            <w:tcMar>
              <w:top w:type="dxa" w:w="80"/>
              <w:left w:type="dxa" w:w="100"/>
              <w:bottom w:type="dxa" w:w="80"/>
              <w:right w:type="dxa" w:w="100"/>
            </w:tcMar>
          </w:tcPr>
          <w:p>
            <w:r>
              <w:rPr>
                <w:b w:val="false"/>
                <w:bCs w:val="false"/>
                <w:color w:val="000000"/>
                <w:sz w:val="20"/>
                <w:szCs w:val="20"/>
              </w:rPr>
              <w:t xml:space="preserve">Excellent coverage; needs GIS/CNN expertise to process</w:t>
            </w:r>
          </w:p>
        </w:tc>
      </w:tr>
      <w:tr>
        <w:tc>
          <w:tcPr>
            <w:tcW w:type="dxa" w:w="2200"/>
            <w:tcMar>
              <w:top w:type="dxa" w:w="80"/>
              <w:left w:type="dxa" w:w="100"/>
              <w:bottom w:type="dxa" w:w="80"/>
              <w:right w:type="dxa" w:w="100"/>
            </w:tcMar>
          </w:tcPr>
          <w:p>
            <w:r>
              <w:rPr>
                <w:b w:val="false"/>
                <w:bCs w:val="false"/>
                <w:color w:val="000000"/>
                <w:sz w:val="20"/>
                <w:szCs w:val="20"/>
              </w:rPr>
              <w:t xml:space="preserve">Weather data</w:t>
            </w:r>
          </w:p>
        </w:tc>
        <w:tc>
          <w:tcPr>
            <w:tcW w:type="dxa" w:w="2200"/>
            <w:tcMar>
              <w:top w:type="dxa" w:w="80"/>
              <w:left w:type="dxa" w:w="100"/>
              <w:bottom w:type="dxa" w:w="80"/>
              <w:right w:type="dxa" w:w="100"/>
            </w:tcMar>
          </w:tcPr>
          <w:p>
            <w:r>
              <w:rPr>
                <w:b w:val="false"/>
                <w:bCs w:val="false"/>
                <w:color w:val="000000"/>
                <w:sz w:val="20"/>
                <w:szCs w:val="20"/>
              </w:rPr>
              <w:t xml:space="preserve">BMD, global weather APIs (e.g., Open-Meteo)</w:t>
            </w:r>
          </w:p>
        </w:tc>
        <w:tc>
          <w:tcPr>
            <w:tcW w:type="dxa" w:w="2200"/>
            <w:tcMar>
              <w:top w:type="dxa" w:w="80"/>
              <w:left w:type="dxa" w:w="100"/>
              <w:bottom w:type="dxa" w:w="80"/>
              <w:right w:type="dxa" w:w="100"/>
            </w:tcMar>
          </w:tcPr>
          <w:p>
            <w:r>
              <w:rPr>
                <w:b w:val="false"/>
                <w:bCs w:val="false"/>
                <w:color w:val="000000"/>
                <w:sz w:val="20"/>
                <w:szCs w:val="20"/>
              </w:rPr>
              <w:t xml:space="preserve">Public/partial partnership needed for BMD</w:t>
            </w:r>
          </w:p>
        </w:tc>
        <w:tc>
          <w:tcPr>
            <w:tcW w:type="dxa" w:w="2400"/>
            <w:tcMar>
              <w:top w:type="dxa" w:w="80"/>
              <w:left w:type="dxa" w:w="100"/>
              <w:bottom w:type="dxa" w:w="80"/>
              <w:right w:type="dxa" w:w="100"/>
            </w:tcMar>
          </w:tcPr>
          <w:p>
            <w:r>
              <w:rPr>
                <w:b w:val="false"/>
                <w:bCs w:val="false"/>
                <w:color w:val="000000"/>
                <w:sz w:val="20"/>
                <w:szCs w:val="20"/>
              </w:rPr>
              <w:t xml:space="preserve">District-level resolution only; needs downscaling</w:t>
            </w:r>
          </w:p>
        </w:tc>
      </w:tr>
      <w:tr>
        <w:tc>
          <w:tcPr>
            <w:tcW w:type="dxa" w:w="2200"/>
            <w:tcMar>
              <w:top w:type="dxa" w:w="80"/>
              <w:left w:type="dxa" w:w="100"/>
              <w:bottom w:type="dxa" w:w="80"/>
              <w:right w:type="dxa" w:w="100"/>
            </w:tcMar>
          </w:tcPr>
          <w:p>
            <w:r>
              <w:rPr>
                <w:b w:val="false"/>
                <w:bCs w:val="false"/>
                <w:color w:val="000000"/>
                <w:sz w:val="20"/>
                <w:szCs w:val="20"/>
              </w:rPr>
              <w:t xml:space="preserve">Soil/crop records</w:t>
            </w:r>
          </w:p>
        </w:tc>
        <w:tc>
          <w:tcPr>
            <w:tcW w:type="dxa" w:w="2200"/>
            <w:tcMar>
              <w:top w:type="dxa" w:w="80"/>
              <w:left w:type="dxa" w:w="100"/>
              <w:bottom w:type="dxa" w:w="80"/>
              <w:right w:type="dxa" w:w="100"/>
            </w:tcMar>
          </w:tcPr>
          <w:p>
            <w:r>
              <w:rPr>
                <w:b w:val="false"/>
                <w:bCs w:val="false"/>
                <w:color w:val="000000"/>
                <w:sz w:val="20"/>
                <w:szCs w:val="20"/>
              </w:rPr>
              <w:t xml:space="preserve">DAE, BARI, BRRI</w:t>
            </w:r>
          </w:p>
        </w:tc>
        <w:tc>
          <w:tcPr>
            <w:tcW w:type="dxa" w:w="2200"/>
            <w:tcMar>
              <w:top w:type="dxa" w:w="80"/>
              <w:left w:type="dxa" w:w="100"/>
              <w:bottom w:type="dxa" w:w="80"/>
              <w:right w:type="dxa" w:w="100"/>
            </w:tcMar>
          </w:tcPr>
          <w:p>
            <w:r>
              <w:rPr>
                <w:b w:val="false"/>
                <w:bCs w:val="false"/>
                <w:color w:val="000000"/>
                <w:sz w:val="20"/>
                <w:szCs w:val="20"/>
              </w:rPr>
              <w:t xml:space="preserve">Requires institutional MOU</w:t>
            </w:r>
          </w:p>
        </w:tc>
        <w:tc>
          <w:tcPr>
            <w:tcW w:type="dxa" w:w="2400"/>
            <w:tcMar>
              <w:top w:type="dxa" w:w="80"/>
              <w:left w:type="dxa" w:w="100"/>
              <w:bottom w:type="dxa" w:w="80"/>
              <w:right w:type="dxa" w:w="100"/>
            </w:tcMar>
          </w:tcPr>
          <w:p>
            <w:r>
              <w:rPr>
                <w:b w:val="false"/>
                <w:bCs w:val="false"/>
                <w:color w:val="000000"/>
                <w:sz w:val="20"/>
                <w:szCs w:val="20"/>
              </w:rPr>
              <w:t xml:space="preserve">Historically paper-based in places; digitization effort needed</w:t>
            </w:r>
          </w:p>
        </w:tc>
      </w:tr>
      <w:tr>
        <w:tc>
          <w:tcPr>
            <w:tcW w:type="dxa" w:w="2200"/>
            <w:tcMar>
              <w:top w:type="dxa" w:w="80"/>
              <w:left w:type="dxa" w:w="100"/>
              <w:bottom w:type="dxa" w:w="80"/>
              <w:right w:type="dxa" w:w="100"/>
            </w:tcMar>
          </w:tcPr>
          <w:p>
            <w:r>
              <w:rPr>
                <w:b w:val="false"/>
                <w:bCs w:val="false"/>
                <w:color w:val="000000"/>
                <w:sz w:val="20"/>
                <w:szCs w:val="20"/>
              </w:rPr>
              <w:t xml:space="preserve">River/groundwater level</w:t>
            </w:r>
          </w:p>
        </w:tc>
        <w:tc>
          <w:tcPr>
            <w:tcW w:type="dxa" w:w="2200"/>
            <w:tcMar>
              <w:top w:type="dxa" w:w="80"/>
              <w:left w:type="dxa" w:w="100"/>
              <w:bottom w:type="dxa" w:w="80"/>
              <w:right w:type="dxa" w:w="100"/>
            </w:tcMar>
          </w:tcPr>
          <w:p>
            <w:r>
              <w:rPr>
                <w:b w:val="false"/>
                <w:bCs w:val="false"/>
                <w:color w:val="000000"/>
                <w:sz w:val="20"/>
                <w:szCs w:val="20"/>
              </w:rPr>
              <w:t xml:space="preserve">Bangladesh Water Development Board</w:t>
            </w:r>
          </w:p>
        </w:tc>
        <w:tc>
          <w:tcPr>
            <w:tcW w:type="dxa" w:w="2200"/>
            <w:tcMar>
              <w:top w:type="dxa" w:w="80"/>
              <w:left w:type="dxa" w:w="100"/>
              <w:bottom w:type="dxa" w:w="80"/>
              <w:right w:type="dxa" w:w="100"/>
            </w:tcMar>
          </w:tcPr>
          <w:p>
            <w:r>
              <w:rPr>
                <w:b w:val="false"/>
                <w:bCs w:val="false"/>
                <w:color w:val="000000"/>
                <w:sz w:val="20"/>
                <w:szCs w:val="20"/>
              </w:rPr>
              <w:t xml:space="preserve">Requires institutional access</w:t>
            </w:r>
          </w:p>
        </w:tc>
        <w:tc>
          <w:tcPr>
            <w:tcW w:type="dxa" w:w="2400"/>
            <w:tcMar>
              <w:top w:type="dxa" w:w="80"/>
              <w:left w:type="dxa" w:w="100"/>
              <w:bottom w:type="dxa" w:w="80"/>
              <w:right w:type="dxa" w:w="100"/>
            </w:tcMar>
          </w:tcPr>
          <w:p>
            <w:r>
              <w:rPr>
                <w:b w:val="false"/>
                <w:bCs w:val="false"/>
                <w:color w:val="000000"/>
                <w:sz w:val="20"/>
                <w:szCs w:val="20"/>
              </w:rPr>
              <w:t xml:space="preserve">Station density uneven across regions</w:t>
            </w:r>
          </w:p>
        </w:tc>
      </w:tr>
      <w:tr>
        <w:tc>
          <w:tcPr>
            <w:tcW w:type="dxa" w:w="2200"/>
            <w:tcMar>
              <w:top w:type="dxa" w:w="80"/>
              <w:left w:type="dxa" w:w="100"/>
              <w:bottom w:type="dxa" w:w="80"/>
              <w:right w:type="dxa" w:w="100"/>
            </w:tcMar>
          </w:tcPr>
          <w:p>
            <w:r>
              <w:rPr>
                <w:b w:val="false"/>
                <w:bCs w:val="false"/>
                <w:color w:val="000000"/>
                <w:sz w:val="20"/>
                <w:szCs w:val="20"/>
              </w:rPr>
              <w:t xml:space="preserve">Field sensor data (EC, moisture, NPK)</w:t>
            </w:r>
          </w:p>
        </w:tc>
        <w:tc>
          <w:tcPr>
            <w:tcW w:type="dxa" w:w="2200"/>
            <w:tcMar>
              <w:top w:type="dxa" w:w="80"/>
              <w:left w:type="dxa" w:w="100"/>
              <w:bottom w:type="dxa" w:w="80"/>
              <w:right w:type="dxa" w:w="100"/>
            </w:tcMar>
          </w:tcPr>
          <w:p>
            <w:r>
              <w:rPr>
                <w:b w:val="false"/>
                <w:bCs w:val="false"/>
                <w:color w:val="000000"/>
                <w:sz w:val="20"/>
                <w:szCs w:val="20"/>
              </w:rPr>
              <w:t xml:space="preserve">Project's own IoT deployment</w:t>
            </w:r>
          </w:p>
        </w:tc>
        <w:tc>
          <w:tcPr>
            <w:tcW w:type="dxa" w:w="2200"/>
            <w:tcMar>
              <w:top w:type="dxa" w:w="80"/>
              <w:left w:type="dxa" w:w="100"/>
              <w:bottom w:type="dxa" w:w="80"/>
              <w:right w:type="dxa" w:w="100"/>
            </w:tcMar>
          </w:tcPr>
          <w:p>
            <w:r>
              <w:rPr>
                <w:b w:val="false"/>
                <w:bCs w:val="false"/>
                <w:color w:val="000000"/>
                <w:sz w:val="20"/>
                <w:szCs w:val="20"/>
              </w:rPr>
              <w:t xml:space="preserve">Built by the project</w:t>
            </w:r>
          </w:p>
        </w:tc>
        <w:tc>
          <w:tcPr>
            <w:tcW w:type="dxa" w:w="2400"/>
            <w:tcMar>
              <w:top w:type="dxa" w:w="80"/>
              <w:left w:type="dxa" w:w="100"/>
              <w:bottom w:type="dxa" w:w="80"/>
              <w:right w:type="dxa" w:w="100"/>
            </w:tcMar>
          </w:tcPr>
          <w:p>
            <w:r>
              <w:rPr>
                <w:b w:val="false"/>
                <w:bCs w:val="false"/>
                <w:color w:val="000000"/>
                <w:sz w:val="20"/>
                <w:szCs w:val="20"/>
              </w:rPr>
              <w:t xml:space="preserve">Zero at project start — this is the true bottleneck</w:t>
            </w:r>
          </w:p>
        </w:tc>
      </w:tr>
      <w:tr>
        <w:tc>
          <w:tcPr>
            <w:tcW w:type="dxa" w:w="2200"/>
            <w:tcMar>
              <w:top w:type="dxa" w:w="80"/>
              <w:left w:type="dxa" w:w="100"/>
              <w:bottom w:type="dxa" w:w="80"/>
              <w:right w:type="dxa" w:w="100"/>
            </w:tcMar>
          </w:tcPr>
          <w:p>
            <w:r>
              <w:rPr>
                <w:b w:val="false"/>
                <w:bCs w:val="false"/>
                <w:color w:val="000000"/>
                <w:sz w:val="20"/>
                <w:szCs w:val="20"/>
              </w:rPr>
              <w:t xml:space="preserve">Farmer feedback / outcomes</w:t>
            </w:r>
          </w:p>
        </w:tc>
        <w:tc>
          <w:tcPr>
            <w:tcW w:type="dxa" w:w="2200"/>
            <w:tcMar>
              <w:top w:type="dxa" w:w="80"/>
              <w:left w:type="dxa" w:w="100"/>
              <w:bottom w:type="dxa" w:w="80"/>
              <w:right w:type="dxa" w:w="100"/>
            </w:tcMar>
          </w:tcPr>
          <w:p>
            <w:r>
              <w:rPr>
                <w:b w:val="false"/>
                <w:bCs w:val="false"/>
                <w:color w:val="000000"/>
                <w:sz w:val="20"/>
                <w:szCs w:val="20"/>
              </w:rPr>
              <w:t xml:space="preserve">App + SMS replies + agriculture officers</w:t>
            </w:r>
          </w:p>
        </w:tc>
        <w:tc>
          <w:tcPr>
            <w:tcW w:type="dxa" w:w="2200"/>
            <w:tcMar>
              <w:top w:type="dxa" w:w="80"/>
              <w:left w:type="dxa" w:w="100"/>
              <w:bottom w:type="dxa" w:w="80"/>
              <w:right w:type="dxa" w:w="100"/>
            </w:tcMar>
          </w:tcPr>
          <w:p>
            <w:r>
              <w:rPr>
                <w:b w:val="false"/>
                <w:bCs w:val="false"/>
                <w:color w:val="000000"/>
                <w:sz w:val="20"/>
                <w:szCs w:val="20"/>
              </w:rPr>
              <w:t xml:space="preserve">Built by the project</w:t>
            </w:r>
          </w:p>
        </w:tc>
        <w:tc>
          <w:tcPr>
            <w:tcW w:type="dxa" w:w="2400"/>
            <w:tcMar>
              <w:top w:type="dxa" w:w="80"/>
              <w:left w:type="dxa" w:w="100"/>
              <w:bottom w:type="dxa" w:w="80"/>
              <w:right w:type="dxa" w:w="100"/>
            </w:tcMar>
          </w:tcPr>
          <w:p>
            <w:r>
              <w:rPr>
                <w:b w:val="false"/>
                <w:bCs w:val="false"/>
                <w:color w:val="000000"/>
                <w:sz w:val="20"/>
                <w:szCs w:val="20"/>
              </w:rPr>
              <w:t xml:space="preserve">Highest long-term value; slow to accumulate</w:t>
            </w:r>
          </w:p>
        </w:tc>
      </w:tr>
    </w:tbl>
    <w:p>
      <w:pPr>
        <w:spacing w:after="160" w:line="300"/>
        <w:jc w:val="both"/>
      </w:pPr>
      <w:r>
        <w:t xml:space="preserve">The honest data picture: hazard-level (flood, drought, vegetation stress) modeling can start almost immediately on free satellite and weather data. Farm-level precision (salinity trend for one specific plot, personalized nutrient advice) cannot — it depends entirely on the project's own sensor network accumulating months to years of history, which is why the roadmap correctly sequences broad hazard alerts before precision per-farm advisory.</w:t>
      </w:r>
    </w:p>
    <w:p>
      <w:pPr>
        <w:pStyle w:val="Heading1"/>
        <w:spacing w:after="160" w:before="360"/>
      </w:pPr>
      <w:r>
        <w:t xml:space="preserve">11. Cost Analysis</w:t>
      </w:r>
    </w:p>
    <w:p>
      <w:pPr>
        <w:pStyle w:val="Heading2"/>
        <w:spacing w:after="120" w:before="280"/>
      </w:pPr>
      <w:r>
        <w:t xml:space="preserve">11.1 Hardware CAPEX (Indicative, per unit)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00"/>
      </w:tblGrid>
      <w:tr>
        <w:trPr>
          <w:tblHeader/>
        </w:trPr>
        <w:tc>
          <w:tcPr>
            <w:tcW w:type="dxa" w:w="4200"/>
            <w:shd w:fill="1F3864" w:val="clear"/>
            <w:tcMar>
              <w:top w:type="dxa" w:w="80"/>
              <w:left w:type="dxa" w:w="100"/>
              <w:bottom w:type="dxa" w:w="80"/>
              <w:right w:type="dxa" w:w="100"/>
            </w:tcMar>
          </w:tcPr>
          <w:p>
            <w:r>
              <w:rPr>
                <w:b/>
                <w:bCs/>
                <w:color w:val="FFFFFF"/>
                <w:sz w:val="20"/>
                <w:szCs w:val="20"/>
              </w:rPr>
              <w:t xml:space="preserve">Item</w:t>
            </w:r>
          </w:p>
        </w:tc>
        <w:tc>
          <w:tcPr>
            <w:tcW w:type="dxa" w:w="2600"/>
            <w:shd w:fill="1F3864" w:val="clear"/>
            <w:tcMar>
              <w:top w:type="dxa" w:w="80"/>
              <w:left w:type="dxa" w:w="100"/>
              <w:bottom w:type="dxa" w:w="80"/>
              <w:right w:type="dxa" w:w="100"/>
            </w:tcMar>
          </w:tcPr>
          <w:p>
            <w:r>
              <w:rPr>
                <w:b/>
                <w:bCs/>
                <w:color w:val="FFFFFF"/>
                <w:sz w:val="20"/>
                <w:szCs w:val="20"/>
              </w:rPr>
              <w:t xml:space="preserve">Approx. Unit Cost (USD)</w:t>
            </w:r>
          </w:p>
        </w:tc>
        <w:tc>
          <w:tcPr>
            <w:tcW w:type="dxa" w:w="2200"/>
            <w:shd w:fill="1F3864" w:val="clear"/>
            <w:tcMar>
              <w:top w:type="dxa" w:w="80"/>
              <w:left w:type="dxa" w:w="100"/>
              <w:bottom w:type="dxa" w:w="80"/>
              <w:right w:type="dxa" w:w="100"/>
            </w:tcMar>
          </w:tcPr>
          <w:p>
            <w:r>
              <w:rPr>
                <w:b/>
                <w:bCs/>
                <w:color w:val="FFFFFF"/>
                <w:sz w:val="20"/>
                <w:szCs w:val="20"/>
              </w:rPr>
              <w:t xml:space="preserve">Notes</w:t>
            </w:r>
          </w:p>
        </w:tc>
      </w:tr>
      <w:tr>
        <w:tc>
          <w:tcPr>
            <w:tcW w:type="dxa" w:w="4200"/>
            <w:tcMar>
              <w:top w:type="dxa" w:w="80"/>
              <w:left w:type="dxa" w:w="100"/>
              <w:bottom w:type="dxa" w:w="80"/>
              <w:right w:type="dxa" w:w="100"/>
            </w:tcMar>
          </w:tcPr>
          <w:p>
            <w:r>
              <w:rPr>
                <w:b w:val="false"/>
                <w:bCs w:val="false"/>
                <w:color w:val="000000"/>
                <w:sz w:val="20"/>
                <w:szCs w:val="20"/>
              </w:rPr>
              <w:t xml:space="preserve">Field sensor node (moisture + EC, solar, LoRa)</w:t>
            </w:r>
          </w:p>
        </w:tc>
        <w:tc>
          <w:tcPr>
            <w:tcW w:type="dxa" w:w="2600"/>
            <w:tcMar>
              <w:top w:type="dxa" w:w="80"/>
              <w:left w:type="dxa" w:w="100"/>
              <w:bottom w:type="dxa" w:w="80"/>
              <w:right w:type="dxa" w:w="100"/>
            </w:tcMar>
          </w:tcPr>
          <w:p>
            <w:r>
              <w:rPr>
                <w:b w:val="false"/>
                <w:bCs w:val="false"/>
                <w:color w:val="000000"/>
                <w:sz w:val="20"/>
                <w:szCs w:val="20"/>
              </w:rPr>
              <w:t xml:space="preserve">$40 – $70</w:t>
            </w:r>
          </w:p>
        </w:tc>
        <w:tc>
          <w:tcPr>
            <w:tcW w:type="dxa" w:w="2200"/>
            <w:tcMar>
              <w:top w:type="dxa" w:w="80"/>
              <w:left w:type="dxa" w:w="100"/>
              <w:bottom w:type="dxa" w:w="80"/>
              <w:right w:type="dxa" w:w="100"/>
            </w:tcMar>
          </w:tcPr>
          <w:p>
            <w:r>
              <w:rPr>
                <w:b w:val="false"/>
                <w:bCs w:val="false"/>
                <w:color w:val="000000"/>
                <w:sz w:val="20"/>
                <w:szCs w:val="20"/>
              </w:rPr>
              <w:t xml:space="preserve">Volume-dependent; higher if NPK/ISE added (+$30–$60)</w:t>
            </w:r>
          </w:p>
        </w:tc>
      </w:tr>
      <w:tr>
        <w:tc>
          <w:tcPr>
            <w:tcW w:type="dxa" w:w="4200"/>
            <w:tcMar>
              <w:top w:type="dxa" w:w="80"/>
              <w:left w:type="dxa" w:w="100"/>
              <w:bottom w:type="dxa" w:w="80"/>
              <w:right w:type="dxa" w:w="100"/>
            </w:tcMar>
          </w:tcPr>
          <w:p>
            <w:r>
              <w:rPr>
                <w:b w:val="false"/>
                <w:bCs w:val="false"/>
                <w:color w:val="000000"/>
                <w:sz w:val="20"/>
                <w:szCs w:val="20"/>
              </w:rPr>
              <w:t xml:space="preserve">Community LoRa gateway (Raspberry Pi class)</w:t>
            </w:r>
          </w:p>
        </w:tc>
        <w:tc>
          <w:tcPr>
            <w:tcW w:type="dxa" w:w="2600"/>
            <w:tcMar>
              <w:top w:type="dxa" w:w="80"/>
              <w:left w:type="dxa" w:w="100"/>
              <w:bottom w:type="dxa" w:w="80"/>
              <w:right w:type="dxa" w:w="100"/>
            </w:tcMar>
          </w:tcPr>
          <w:p>
            <w:r>
              <w:rPr>
                <w:b w:val="false"/>
                <w:bCs w:val="false"/>
                <w:color w:val="000000"/>
                <w:sz w:val="20"/>
                <w:szCs w:val="20"/>
              </w:rPr>
              <w:t xml:space="preserve">$120 – $200</w:t>
            </w:r>
          </w:p>
        </w:tc>
        <w:tc>
          <w:tcPr>
            <w:tcW w:type="dxa" w:w="2200"/>
            <w:tcMar>
              <w:top w:type="dxa" w:w="80"/>
              <w:left w:type="dxa" w:w="100"/>
              <w:bottom w:type="dxa" w:w="80"/>
              <w:right w:type="dxa" w:w="100"/>
            </w:tcMar>
          </w:tcPr>
          <w:p>
            <w:r>
              <w:rPr>
                <w:b w:val="false"/>
                <w:bCs w:val="false"/>
                <w:color w:val="000000"/>
                <w:sz w:val="20"/>
                <w:szCs w:val="20"/>
              </w:rPr>
              <w:t xml:space="preserve">Serves 10–20 farmers, amortized cost is low per farmer</w:t>
            </w:r>
          </w:p>
        </w:tc>
      </w:tr>
      <w:tr>
        <w:tc>
          <w:tcPr>
            <w:tcW w:type="dxa" w:w="4200"/>
            <w:tcMar>
              <w:top w:type="dxa" w:w="80"/>
              <w:left w:type="dxa" w:w="100"/>
              <w:bottom w:type="dxa" w:w="80"/>
              <w:right w:type="dxa" w:w="100"/>
            </w:tcMar>
          </w:tcPr>
          <w:p>
            <w:r>
              <w:rPr>
                <w:b w:val="false"/>
                <w:bCs w:val="false"/>
                <w:color w:val="000000"/>
                <w:sz w:val="20"/>
                <w:szCs w:val="20"/>
              </w:rPr>
              <w:t xml:space="preserve">Enclosure, mounting, surge protection</w:t>
            </w:r>
          </w:p>
        </w:tc>
        <w:tc>
          <w:tcPr>
            <w:tcW w:type="dxa" w:w="2600"/>
            <w:tcMar>
              <w:top w:type="dxa" w:w="80"/>
              <w:left w:type="dxa" w:w="100"/>
              <w:bottom w:type="dxa" w:w="80"/>
              <w:right w:type="dxa" w:w="100"/>
            </w:tcMar>
          </w:tcPr>
          <w:p>
            <w:r>
              <w:rPr>
                <w:b w:val="false"/>
                <w:bCs w:val="false"/>
                <w:color w:val="000000"/>
                <w:sz w:val="20"/>
                <w:szCs w:val="20"/>
              </w:rPr>
              <w:t xml:space="preserve">$10 – $20 / node</w:t>
            </w:r>
          </w:p>
        </w:tc>
        <w:tc>
          <w:tcPr>
            <w:tcW w:type="dxa" w:w="2200"/>
            <w:tcMar>
              <w:top w:type="dxa" w:w="80"/>
              <w:left w:type="dxa" w:w="100"/>
              <w:bottom w:type="dxa" w:w="80"/>
              <w:right w:type="dxa" w:w="100"/>
            </w:tcMar>
          </w:tcPr>
          <w:p>
            <w:r>
              <w:rPr>
                <w:b w:val="false"/>
                <w:bCs w:val="false"/>
                <w:color w:val="000000"/>
                <w:sz w:val="20"/>
                <w:szCs w:val="20"/>
              </w:rPr>
              <w:t xml:space="preserve">Non-negotiable given flood/monsoon exposure</w:t>
            </w:r>
          </w:p>
        </w:tc>
      </w:tr>
      <w:tr>
        <w:tc>
          <w:tcPr>
            <w:tcW w:type="dxa" w:w="4200"/>
            <w:tcMar>
              <w:top w:type="dxa" w:w="80"/>
              <w:left w:type="dxa" w:w="100"/>
              <w:bottom w:type="dxa" w:w="80"/>
              <w:right w:type="dxa" w:w="100"/>
            </w:tcMar>
          </w:tcPr>
          <w:p>
            <w:r>
              <w:rPr>
                <w:b w:val="false"/>
                <w:bCs w:val="false"/>
                <w:color w:val="000000"/>
                <w:sz w:val="20"/>
                <w:szCs w:val="20"/>
              </w:rPr>
              <w:t xml:space="preserve">Farmer feature phone SMS-only path</w:t>
            </w:r>
          </w:p>
        </w:tc>
        <w:tc>
          <w:tcPr>
            <w:tcW w:type="dxa" w:w="2600"/>
            <w:tcMar>
              <w:top w:type="dxa" w:w="80"/>
              <w:left w:type="dxa" w:w="100"/>
              <w:bottom w:type="dxa" w:w="80"/>
              <w:right w:type="dxa" w:w="100"/>
            </w:tcMar>
          </w:tcPr>
          <w:p>
            <w:r>
              <w:rPr>
                <w:b w:val="false"/>
                <w:bCs w:val="false"/>
                <w:color w:val="000000"/>
                <w:sz w:val="20"/>
                <w:szCs w:val="20"/>
              </w:rPr>
              <w:t xml:space="preserve">$0 additional hardware</w:t>
            </w:r>
          </w:p>
        </w:tc>
        <w:tc>
          <w:tcPr>
            <w:tcW w:type="dxa" w:w="2200"/>
            <w:tcMar>
              <w:top w:type="dxa" w:w="80"/>
              <w:left w:type="dxa" w:w="100"/>
              <w:bottom w:type="dxa" w:w="80"/>
              <w:right w:type="dxa" w:w="100"/>
            </w:tcMar>
          </w:tcPr>
          <w:p>
            <w:r>
              <w:rPr>
                <w:b w:val="false"/>
                <w:bCs w:val="false"/>
                <w:color w:val="000000"/>
                <w:sz w:val="20"/>
                <w:szCs w:val="20"/>
              </w:rPr>
              <w:t xml:space="preserve">Uses existing phones; only SMS gateway cost applies</w:t>
            </w:r>
          </w:p>
        </w:tc>
      </w:tr>
    </w:tbl>
    <w:p>
      <w:pPr>
        <w:pStyle w:val="Heading2"/>
        <w:spacing w:after="120" w:before="280"/>
      </w:pPr>
      <w:r>
        <w:t xml:space="preserve">11.2 Software/Cloud OPEX (Monthly, Pilot Scale ~1,000 farmers / ~60 hubs)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00"/>
      </w:tblGrid>
      <w:tr>
        <w:trPr>
          <w:tblHeader/>
        </w:trPr>
        <w:tc>
          <w:tcPr>
            <w:tcW w:type="dxa" w:w="4200"/>
            <w:shd w:fill="1F3864" w:val="clear"/>
            <w:tcMar>
              <w:top w:type="dxa" w:w="80"/>
              <w:left w:type="dxa" w:w="100"/>
              <w:bottom w:type="dxa" w:w="80"/>
              <w:right w:type="dxa" w:w="100"/>
            </w:tcMar>
          </w:tcPr>
          <w:p>
            <w:r>
              <w:rPr>
                <w:b/>
                <w:bCs/>
                <w:color w:val="FFFFFF"/>
                <w:sz w:val="20"/>
                <w:szCs w:val="20"/>
              </w:rPr>
              <w:t xml:space="preserve">Item</w:t>
            </w:r>
          </w:p>
        </w:tc>
        <w:tc>
          <w:tcPr>
            <w:tcW w:type="dxa" w:w="2600"/>
            <w:shd w:fill="1F3864" w:val="clear"/>
            <w:tcMar>
              <w:top w:type="dxa" w:w="80"/>
              <w:left w:type="dxa" w:w="100"/>
              <w:bottom w:type="dxa" w:w="80"/>
              <w:right w:type="dxa" w:w="100"/>
            </w:tcMar>
          </w:tcPr>
          <w:p>
            <w:r>
              <w:rPr>
                <w:b/>
                <w:bCs/>
                <w:color w:val="FFFFFF"/>
                <w:sz w:val="20"/>
                <w:szCs w:val="20"/>
              </w:rPr>
              <w:t xml:space="preserve">Approx. Monthly Cost (USD)</w:t>
            </w:r>
          </w:p>
        </w:tc>
        <w:tc>
          <w:tcPr>
            <w:tcW w:type="dxa" w:w="2200"/>
            <w:shd w:fill="1F3864" w:val="clear"/>
            <w:tcMar>
              <w:top w:type="dxa" w:w="80"/>
              <w:left w:type="dxa" w:w="100"/>
              <w:bottom w:type="dxa" w:w="80"/>
              <w:right w:type="dxa" w:w="100"/>
            </w:tcMar>
          </w:tcPr>
          <w:p>
            <w:r>
              <w:rPr>
                <w:b/>
                <w:bCs/>
                <w:color w:val="FFFFFF"/>
                <w:sz w:val="20"/>
                <w:szCs w:val="20"/>
              </w:rPr>
              <w:t xml:space="preserve">Notes</w:t>
            </w:r>
          </w:p>
        </w:tc>
      </w:tr>
      <w:tr>
        <w:tc>
          <w:tcPr>
            <w:tcW w:type="dxa" w:w="4200"/>
            <w:tcMar>
              <w:top w:type="dxa" w:w="80"/>
              <w:left w:type="dxa" w:w="100"/>
              <w:bottom w:type="dxa" w:w="80"/>
              <w:right w:type="dxa" w:w="100"/>
            </w:tcMar>
          </w:tcPr>
          <w:p>
            <w:r>
              <w:rPr>
                <w:b w:val="false"/>
                <w:bCs w:val="false"/>
                <w:color w:val="000000"/>
                <w:sz w:val="20"/>
                <w:szCs w:val="20"/>
              </w:rPr>
              <w:t xml:space="preserve">Cloud hosting + database + object storage</w:t>
            </w:r>
          </w:p>
        </w:tc>
        <w:tc>
          <w:tcPr>
            <w:tcW w:type="dxa" w:w="2600"/>
            <w:tcMar>
              <w:top w:type="dxa" w:w="80"/>
              <w:left w:type="dxa" w:w="100"/>
              <w:bottom w:type="dxa" w:w="80"/>
              <w:right w:type="dxa" w:w="100"/>
            </w:tcMar>
          </w:tcPr>
          <w:p>
            <w:r>
              <w:rPr>
                <w:b w:val="false"/>
                <w:bCs w:val="false"/>
                <w:color w:val="000000"/>
                <w:sz w:val="20"/>
                <w:szCs w:val="20"/>
              </w:rPr>
              <w:t xml:space="preserve">$150 – $400</w:t>
            </w:r>
          </w:p>
        </w:tc>
        <w:tc>
          <w:tcPr>
            <w:tcW w:type="dxa" w:w="2200"/>
            <w:tcMar>
              <w:top w:type="dxa" w:w="80"/>
              <w:left w:type="dxa" w:w="100"/>
              <w:bottom w:type="dxa" w:w="80"/>
              <w:right w:type="dxa" w:w="100"/>
            </w:tcMar>
          </w:tcPr>
          <w:p>
            <w:r>
              <w:rPr>
                <w:b w:val="false"/>
                <w:bCs w:val="false"/>
                <w:color w:val="000000"/>
                <w:sz w:val="20"/>
                <w:szCs w:val="20"/>
              </w:rPr>
              <w:t xml:space="preserve">Scales with satellite-tile storage more than sensor data</w:t>
            </w:r>
          </w:p>
        </w:tc>
      </w:tr>
      <w:tr>
        <w:tc>
          <w:tcPr>
            <w:tcW w:type="dxa" w:w="4200"/>
            <w:tcMar>
              <w:top w:type="dxa" w:w="80"/>
              <w:left w:type="dxa" w:w="100"/>
              <w:bottom w:type="dxa" w:w="80"/>
              <w:right w:type="dxa" w:w="100"/>
            </w:tcMar>
          </w:tcPr>
          <w:p>
            <w:r>
              <w:rPr>
                <w:b w:val="false"/>
                <w:bCs w:val="false"/>
                <w:color w:val="000000"/>
                <w:sz w:val="20"/>
                <w:szCs w:val="20"/>
              </w:rPr>
              <w:t xml:space="preserve">SMS gateway costs</w:t>
            </w:r>
          </w:p>
        </w:tc>
        <w:tc>
          <w:tcPr>
            <w:tcW w:type="dxa" w:w="2600"/>
            <w:tcMar>
              <w:top w:type="dxa" w:w="80"/>
              <w:left w:type="dxa" w:w="100"/>
              <w:bottom w:type="dxa" w:w="80"/>
              <w:right w:type="dxa" w:w="100"/>
            </w:tcMar>
          </w:tcPr>
          <w:p>
            <w:r>
              <w:rPr>
                <w:b w:val="false"/>
                <w:bCs w:val="false"/>
                <w:color w:val="000000"/>
                <w:sz w:val="20"/>
                <w:szCs w:val="20"/>
              </w:rPr>
              <w:t xml:space="preserve">$50 – $300</w:t>
            </w:r>
          </w:p>
        </w:tc>
        <w:tc>
          <w:tcPr>
            <w:tcW w:type="dxa" w:w="2200"/>
            <w:tcMar>
              <w:top w:type="dxa" w:w="80"/>
              <w:left w:type="dxa" w:w="100"/>
              <w:bottom w:type="dxa" w:w="80"/>
              <w:right w:type="dxa" w:w="100"/>
            </w:tcMar>
          </w:tcPr>
          <w:p>
            <w:r>
              <w:rPr>
                <w:b w:val="false"/>
                <w:bCs w:val="false"/>
                <w:color w:val="000000"/>
                <w:sz w:val="20"/>
                <w:szCs w:val="20"/>
              </w:rPr>
              <w:t xml:space="preserve">Depends on alert frequency and telecom partner rates</w:t>
            </w:r>
          </w:p>
        </w:tc>
      </w:tr>
      <w:tr>
        <w:tc>
          <w:tcPr>
            <w:tcW w:type="dxa" w:w="4200"/>
            <w:tcMar>
              <w:top w:type="dxa" w:w="80"/>
              <w:left w:type="dxa" w:w="100"/>
              <w:bottom w:type="dxa" w:w="80"/>
              <w:right w:type="dxa" w:w="100"/>
            </w:tcMar>
          </w:tcPr>
          <w:p>
            <w:r>
              <w:rPr>
                <w:b w:val="false"/>
                <w:bCs w:val="false"/>
                <w:color w:val="000000"/>
                <w:sz w:val="20"/>
                <w:szCs w:val="20"/>
              </w:rPr>
              <w:t xml:space="preserve">Gateway cellular data (per hub)</w:t>
            </w:r>
          </w:p>
        </w:tc>
        <w:tc>
          <w:tcPr>
            <w:tcW w:type="dxa" w:w="2600"/>
            <w:tcMar>
              <w:top w:type="dxa" w:w="80"/>
              <w:left w:type="dxa" w:w="100"/>
              <w:bottom w:type="dxa" w:w="80"/>
              <w:right w:type="dxa" w:w="100"/>
            </w:tcMar>
          </w:tcPr>
          <w:p>
            <w:r>
              <w:rPr>
                <w:b w:val="false"/>
                <w:bCs w:val="false"/>
                <w:color w:val="000000"/>
                <w:sz w:val="20"/>
                <w:szCs w:val="20"/>
              </w:rPr>
              <w:t xml:space="preserve">$2 – $5 / hub / month</w:t>
            </w:r>
          </w:p>
        </w:tc>
        <w:tc>
          <w:tcPr>
            <w:tcW w:type="dxa" w:w="2200"/>
            <w:tcMar>
              <w:top w:type="dxa" w:w="80"/>
              <w:left w:type="dxa" w:w="100"/>
              <w:bottom w:type="dxa" w:w="80"/>
              <w:right w:type="dxa" w:w="100"/>
            </w:tcMar>
          </w:tcPr>
          <w:p>
            <w:r>
              <w:rPr>
                <w:b w:val="false"/>
                <w:bCs w:val="false"/>
                <w:color w:val="000000"/>
                <w:sz w:val="20"/>
                <w:szCs w:val="20"/>
              </w:rPr>
              <w:t xml:space="preserve">×60 hubs ≈ $120 – $300 total</w:t>
            </w:r>
          </w:p>
        </w:tc>
      </w:tr>
      <w:tr>
        <w:tc>
          <w:tcPr>
            <w:tcW w:type="dxa" w:w="4200"/>
            <w:tcMar>
              <w:top w:type="dxa" w:w="80"/>
              <w:left w:type="dxa" w:w="100"/>
              <w:bottom w:type="dxa" w:w="80"/>
              <w:right w:type="dxa" w:w="100"/>
            </w:tcMar>
          </w:tcPr>
          <w:p>
            <w:r>
              <w:rPr>
                <w:b w:val="false"/>
                <w:bCs w:val="false"/>
                <w:color w:val="000000"/>
                <w:sz w:val="20"/>
                <w:szCs w:val="20"/>
              </w:rPr>
              <w:t xml:space="preserve">Model inference/serving compute</w:t>
            </w:r>
          </w:p>
        </w:tc>
        <w:tc>
          <w:tcPr>
            <w:tcW w:type="dxa" w:w="2600"/>
            <w:tcMar>
              <w:top w:type="dxa" w:w="80"/>
              <w:left w:type="dxa" w:w="100"/>
              <w:bottom w:type="dxa" w:w="80"/>
              <w:right w:type="dxa" w:w="100"/>
            </w:tcMar>
          </w:tcPr>
          <w:p>
            <w:r>
              <w:rPr>
                <w:b w:val="false"/>
                <w:bCs w:val="false"/>
                <w:color w:val="000000"/>
                <w:sz w:val="20"/>
                <w:szCs w:val="20"/>
              </w:rPr>
              <w:t xml:space="preserve">$100 – $300</w:t>
            </w:r>
          </w:p>
        </w:tc>
        <w:tc>
          <w:tcPr>
            <w:tcW w:type="dxa" w:w="2200"/>
            <w:tcMar>
              <w:top w:type="dxa" w:w="80"/>
              <w:left w:type="dxa" w:w="100"/>
              <w:bottom w:type="dxa" w:w="80"/>
              <w:right w:type="dxa" w:w="100"/>
            </w:tcMar>
          </w:tcPr>
          <w:p>
            <w:r>
              <w:rPr>
                <w:b w:val="false"/>
                <w:bCs w:val="false"/>
                <w:color w:val="000000"/>
                <w:sz w:val="20"/>
                <w:szCs w:val="20"/>
              </w:rPr>
              <w:t xml:space="preserve">Modest at pilot scale; grows with farmer count and model count</w:t>
            </w:r>
          </w:p>
        </w:tc>
      </w:tr>
    </w:tbl>
    <w:p>
      <w:pPr>
        <w:pStyle w:val="Heading2"/>
        <w:spacing w:after="120" w:before="280"/>
      </w:pPr>
      <w:r>
        <w:t xml:space="preserve">11.3 Cost-per-Farmer Trend</w:t>
      </w:r>
    </w:p>
    <w:p>
      <w:pPr>
        <w:spacing w:after="160" w:line="300"/>
        <w:jc w:val="both"/>
      </w:pPr>
      <w:r>
        <w:t xml:space="preserve">Because the hub model amortizes gateway and connectivity cost across many farmers, cost per farmer should fall sharply from Phase 1 (1,000 farmers) to Phase 2 (100,000 farmers) — cloud and connectivity costs scale sub-linearly while sensor hardware scales roughly linearly, so hardware becomes the dominant and most negotiable cost line at scale (bulk procurement, local assembly, or a telecom/government subsidy on hardware are the levers worth pursuing first).</w:t>
      </w:r>
    </w:p>
    <w:p>
      <w:pPr>
        <w:spacing w:after="200"/>
      </w:pPr>
      <w:r>
        <w:rPr>
          <w:i/>
          <w:iCs/>
          <w:color w:val="595959"/>
          <w:sz w:val="20"/>
          <w:szCs w:val="20"/>
        </w:rPr>
        <w:t xml:space="preserve">All figures above are planning-level estimates for budgeting and pitch purposes, not vendor quotes — real sourcing in Bangladesh (import duties, local assembly options) should replace them before any procurement decision.</w:t>
      </w:r>
    </w:p>
    <w:p>
      <w:pPr>
        <w:pStyle w:val="Heading1"/>
        <w:spacing w:after="160" w:before="360"/>
      </w:pPr>
      <w:r>
        <w:t xml:space="preserve">12. Sustainability Analysis</w:t>
      </w:r>
    </w:p>
    <w:p>
      <w:pPr>
        <w:pStyle w:val="Heading2"/>
        <w:spacing w:after="120" w:before="280"/>
      </w:pPr>
      <w:r>
        <w:t xml:space="preserve">12.1 Environmental</w:t>
      </w:r>
    </w:p>
    <w:p>
      <w:pPr>
        <w:pStyle w:val="ListParagraph"/>
        <w:numPr>
          <w:ilvl w:val="0"/>
          <w:numId w:val="2"/>
        </w:numPr>
        <w:spacing w:after="80"/>
      </w:pPr>
      <w:r>
        <w:t xml:space="preserve">Solar-powered field nodes keep the sensing layer largely carbon-free at the edge.</w:t>
      </w:r>
    </w:p>
    <w:p>
      <w:pPr>
        <w:pStyle w:val="ListParagraph"/>
        <w:numPr>
          <w:ilvl w:val="0"/>
          <w:numId w:val="2"/>
        </w:numPr>
        <w:spacing w:after="80"/>
      </w:pPr>
      <w:r>
        <w:t xml:space="preserve">Better-targeted fertilizer and irrigation use (the platform's core value proposition) directly reduces agrochemical runoff and groundwater over-extraction.</w:t>
      </w:r>
    </w:p>
    <w:p>
      <w:pPr>
        <w:pStyle w:val="ListParagraph"/>
        <w:numPr>
          <w:ilvl w:val="0"/>
          <w:numId w:val="2"/>
        </w:numPr>
        <w:spacing w:after="80"/>
      </w:pPr>
      <w:r>
        <w:t xml:space="preserve">E-waste: sensor nodes have a multi-year but finite life; a take-back/refurbishment plan for failed electrodes and batteries should be designed in from Phase 2, not retrofitted later.</w:t>
      </w:r>
    </w:p>
    <w:p>
      <w:pPr>
        <w:pStyle w:val="Heading2"/>
        <w:spacing w:after="120" w:before="280"/>
      </w:pPr>
      <w:r>
        <w:t xml:space="preserve">12.2 Economic</w:t>
      </w:r>
    </w:p>
    <w:p>
      <w:pPr>
        <w:pStyle w:val="ListParagraph"/>
        <w:numPr>
          <w:ilvl w:val="0"/>
          <w:numId w:val="2"/>
        </w:numPr>
        <w:spacing w:after="80"/>
      </w:pPr>
      <w:r>
        <w:t xml:space="preserve">Public-good hazard alerts (flood/drought) can be funded/subsidized (government, telecom CSR) since they benefit whole communities, not just paying users.</w:t>
      </w:r>
    </w:p>
    <w:p>
      <w:pPr>
        <w:pStyle w:val="ListParagraph"/>
        <w:numPr>
          <w:ilvl w:val="0"/>
          <w:numId w:val="2"/>
        </w:numPr>
        <w:spacing w:after="80"/>
      </w:pPr>
      <w:r>
        <w:t xml:space="preserve">Precision per-farm advisory (Phase 2+) is the more plausible monetizable tier — a modest fee or telecom-bundled subscription — once accuracy is proven.</w:t>
      </w:r>
    </w:p>
    <w:p>
      <w:pPr>
        <w:pStyle w:val="Heading2"/>
        <w:spacing w:after="120" w:before="280"/>
      </w:pPr>
      <w:r>
        <w:t xml:space="preserve">12.3 Social</w:t>
      </w:r>
    </w:p>
    <w:p>
      <w:pPr>
        <w:pStyle w:val="ListParagraph"/>
        <w:numPr>
          <w:ilvl w:val="0"/>
          <w:numId w:val="2"/>
        </w:numPr>
        <w:spacing w:after="80"/>
      </w:pPr>
      <w:r>
        <w:t xml:space="preserve">Bengali voice UI is essential, not optional, given literacy variation among smallholders — this is correctly already in the source architecture.</w:t>
      </w:r>
    </w:p>
    <w:p>
      <w:pPr>
        <w:pStyle w:val="ListParagraph"/>
        <w:numPr>
          <w:ilvl w:val="0"/>
          <w:numId w:val="2"/>
        </w:numPr>
        <w:spacing w:after="80"/>
      </w:pPr>
      <w:r>
        <w:t xml:space="preserve">Community hubs double as a natural venue for digital-literacy and trust-building sessions with an agriculture officer, which meaningfully improves adoption versus an app launched with no in-person support.</w:t>
      </w:r>
    </w:p>
    <w:p>
      <w:pPr>
        <w:pStyle w:val="ListParagraph"/>
        <w:numPr>
          <w:ilvl w:val="0"/>
          <w:numId w:val="2"/>
        </w:numPr>
        <w:spacing w:after="80"/>
      </w:pPr>
      <w:r>
        <w:t xml:space="preserve">Deliberate outreach to women farmers and tenant farmers (who may have less say over land-use decisions) improves equity of impact.</w:t>
      </w:r>
    </w:p>
    <w:p>
      <w:pPr>
        <w:pStyle w:val="Heading1"/>
        <w:spacing w:after="160" w:before="360"/>
      </w:pPr>
      <w:r>
        <w:t xml:space="preserve">13. Feasibility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49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Dimension</w:t>
            </w:r>
          </w:p>
        </w:tc>
        <w:tc>
          <w:tcPr>
            <w:tcW w:type="dxa" w:w="1500"/>
            <w:shd w:fill="1F3864" w:val="clear"/>
            <w:tcMar>
              <w:top w:type="dxa" w:w="80"/>
              <w:left w:type="dxa" w:w="100"/>
              <w:bottom w:type="dxa" w:w="80"/>
              <w:right w:type="dxa" w:w="100"/>
            </w:tcMar>
          </w:tcPr>
          <w:p>
            <w:r>
              <w:rPr>
                <w:b/>
                <w:bCs/>
                <w:color w:val="FFFFFF"/>
                <w:sz w:val="20"/>
                <w:szCs w:val="20"/>
              </w:rPr>
              <w:t xml:space="preserve">Rating</w:t>
            </w:r>
          </w:p>
        </w:tc>
        <w:tc>
          <w:tcPr>
            <w:tcW w:type="dxa" w:w="4900"/>
            <w:shd w:fill="1F3864" w:val="clear"/>
            <w:tcMar>
              <w:top w:type="dxa" w:w="80"/>
              <w:left w:type="dxa" w:w="100"/>
              <w:bottom w:type="dxa" w:w="80"/>
              <w:right w:type="dxa" w:w="100"/>
            </w:tcMar>
          </w:tcPr>
          <w:p>
            <w:r>
              <w:rPr>
                <w:b/>
                <w:bCs/>
                <w:color w:val="FFFFFF"/>
                <w:sz w:val="20"/>
                <w:szCs w:val="20"/>
              </w:rPr>
              <w:t xml:space="preserve">Rationale</w:t>
            </w:r>
          </w:p>
        </w:tc>
      </w:tr>
      <w:tr>
        <w:tc>
          <w:tcPr>
            <w:tcW w:type="dxa" w:w="2400"/>
            <w:tcMar>
              <w:top w:type="dxa" w:w="80"/>
              <w:left w:type="dxa" w:w="100"/>
              <w:bottom w:type="dxa" w:w="80"/>
              <w:right w:type="dxa" w:w="100"/>
            </w:tcMar>
          </w:tcPr>
          <w:p>
            <w:r>
              <w:rPr>
                <w:b w:val="false"/>
                <w:bCs w:val="false"/>
                <w:color w:val="000000"/>
                <w:sz w:val="20"/>
                <w:szCs w:val="20"/>
              </w:rPr>
              <w:t xml:space="preserve">Technical (AI/software)</w:t>
            </w:r>
          </w:p>
        </w:tc>
        <w:tc>
          <w:tcPr>
            <w:tcW w:type="dxa" w:w="1500"/>
            <w:tcMar>
              <w:top w:type="dxa" w:w="80"/>
              <w:left w:type="dxa" w:w="100"/>
              <w:bottom w:type="dxa" w:w="80"/>
              <w:right w:type="dxa" w:w="100"/>
            </w:tcMar>
          </w:tcPr>
          <w:p>
            <w:r>
              <w:rPr>
                <w:b w:val="false"/>
                <w:bCs w:val="false"/>
                <w:color w:val="000000"/>
                <w:sz w:val="20"/>
                <w:szCs w:val="20"/>
              </w:rPr>
              <w:t xml:space="preserve">High</w:t>
            </w:r>
          </w:p>
        </w:tc>
        <w:tc>
          <w:tcPr>
            <w:tcW w:type="dxa" w:w="4900"/>
            <w:tcMar>
              <w:top w:type="dxa" w:w="80"/>
              <w:left w:type="dxa" w:w="100"/>
              <w:bottom w:type="dxa" w:w="80"/>
              <w:right w:type="dxa" w:w="100"/>
            </w:tcMar>
          </w:tcPr>
          <w:p>
            <w:r>
              <w:rPr>
                <w:b w:val="false"/>
                <w:bCs w:val="false"/>
                <w:color w:val="000000"/>
                <w:sz w:val="20"/>
                <w:szCs w:val="20"/>
              </w:rPr>
              <w:t xml:space="preserve">All required model types are mature, well-documented techniques; no unsolved research problem is required for Phase 1–2.</w:t>
            </w:r>
          </w:p>
        </w:tc>
      </w:tr>
      <w:tr>
        <w:tc>
          <w:tcPr>
            <w:tcW w:type="dxa" w:w="2400"/>
            <w:tcMar>
              <w:top w:type="dxa" w:w="80"/>
              <w:left w:type="dxa" w:w="100"/>
              <w:bottom w:type="dxa" w:w="80"/>
              <w:right w:type="dxa" w:w="100"/>
            </w:tcMar>
          </w:tcPr>
          <w:p>
            <w:r>
              <w:rPr>
                <w:b w:val="false"/>
                <w:bCs w:val="false"/>
                <w:color w:val="000000"/>
                <w:sz w:val="20"/>
                <w:szCs w:val="20"/>
              </w:rPr>
              <w:t xml:space="preserve">Technical (embedded/IoT)</w:t>
            </w:r>
          </w:p>
        </w:tc>
        <w:tc>
          <w:tcPr>
            <w:tcW w:type="dxa" w:w="1500"/>
            <w:tcMar>
              <w:top w:type="dxa" w:w="80"/>
              <w:left w:type="dxa" w:w="100"/>
              <w:bottom w:type="dxa" w:w="80"/>
              <w:right w:type="dxa" w:w="100"/>
            </w:tcMar>
          </w:tcPr>
          <w:p>
            <w:r>
              <w:rPr>
                <w:b w:val="false"/>
                <w:bCs w:val="false"/>
                <w:color w:val="000000"/>
                <w:sz w:val="20"/>
                <w:szCs w:val="20"/>
              </w:rPr>
              <w:t xml:space="preserve">Medium–High</w:t>
            </w:r>
          </w:p>
        </w:tc>
        <w:tc>
          <w:tcPr>
            <w:tcW w:type="dxa" w:w="4900"/>
            <w:tcMar>
              <w:top w:type="dxa" w:w="80"/>
              <w:left w:type="dxa" w:w="100"/>
              <w:bottom w:type="dxa" w:w="80"/>
              <w:right w:type="dxa" w:w="100"/>
            </w:tcMar>
          </w:tcPr>
          <w:p>
            <w:r>
              <w:rPr>
                <w:b w:val="false"/>
                <w:bCs w:val="false"/>
                <w:color w:val="000000"/>
                <w:sz w:val="20"/>
                <w:szCs w:val="20"/>
              </w:rPr>
              <w:t xml:space="preserve">Hardware is off-the-shelf; main risk is field durability under monsoon conditions, which is manageable engineering, not novel research.</w:t>
            </w:r>
          </w:p>
        </w:tc>
      </w:tr>
      <w:tr>
        <w:tc>
          <w:tcPr>
            <w:tcW w:type="dxa" w:w="2400"/>
            <w:tcMar>
              <w:top w:type="dxa" w:w="80"/>
              <w:left w:type="dxa" w:w="100"/>
              <w:bottom w:type="dxa" w:w="80"/>
              <w:right w:type="dxa" w:w="100"/>
            </w:tcMar>
          </w:tcPr>
          <w:p>
            <w:r>
              <w:rPr>
                <w:b w:val="false"/>
                <w:bCs w:val="false"/>
                <w:color w:val="000000"/>
                <w:sz w:val="20"/>
                <w:szCs w:val="20"/>
              </w:rPr>
              <w:t xml:space="preserve">Data availability (hazard-level)</w:t>
            </w:r>
          </w:p>
        </w:tc>
        <w:tc>
          <w:tcPr>
            <w:tcW w:type="dxa" w:w="1500"/>
            <w:tcMar>
              <w:top w:type="dxa" w:w="80"/>
              <w:left w:type="dxa" w:w="100"/>
              <w:bottom w:type="dxa" w:w="80"/>
              <w:right w:type="dxa" w:w="100"/>
            </w:tcMar>
          </w:tcPr>
          <w:p>
            <w:r>
              <w:rPr>
                <w:b w:val="false"/>
                <w:bCs w:val="false"/>
                <w:color w:val="000000"/>
                <w:sz w:val="20"/>
                <w:szCs w:val="20"/>
              </w:rPr>
              <w:t xml:space="preserve">High</w:t>
            </w:r>
          </w:p>
        </w:tc>
        <w:tc>
          <w:tcPr>
            <w:tcW w:type="dxa" w:w="4900"/>
            <w:tcMar>
              <w:top w:type="dxa" w:w="80"/>
              <w:left w:type="dxa" w:w="100"/>
              <w:bottom w:type="dxa" w:w="80"/>
              <w:right w:type="dxa" w:w="100"/>
            </w:tcMar>
          </w:tcPr>
          <w:p>
            <w:r>
              <w:rPr>
                <w:b w:val="false"/>
                <w:bCs w:val="false"/>
                <w:color w:val="000000"/>
                <w:sz w:val="20"/>
                <w:szCs w:val="20"/>
              </w:rPr>
              <w:t xml:space="preserve">Free satellite and weather data cover flood/drought/vegetation needs from day one.</w:t>
            </w:r>
          </w:p>
        </w:tc>
      </w:tr>
      <w:tr>
        <w:tc>
          <w:tcPr>
            <w:tcW w:type="dxa" w:w="2400"/>
            <w:tcMar>
              <w:top w:type="dxa" w:w="80"/>
              <w:left w:type="dxa" w:w="100"/>
              <w:bottom w:type="dxa" w:w="80"/>
              <w:right w:type="dxa" w:w="100"/>
            </w:tcMar>
          </w:tcPr>
          <w:p>
            <w:r>
              <w:rPr>
                <w:b w:val="false"/>
                <w:bCs w:val="false"/>
                <w:color w:val="000000"/>
                <w:sz w:val="20"/>
                <w:szCs w:val="20"/>
              </w:rPr>
              <w:t xml:space="preserve">Data availability (farm-level precision)</w:t>
            </w:r>
          </w:p>
        </w:tc>
        <w:tc>
          <w:tcPr>
            <w:tcW w:type="dxa" w:w="1500"/>
            <w:tcMar>
              <w:top w:type="dxa" w:w="80"/>
              <w:left w:type="dxa" w:w="100"/>
              <w:bottom w:type="dxa" w:w="80"/>
              <w:right w:type="dxa" w:w="100"/>
            </w:tcMar>
          </w:tcPr>
          <w:p>
            <w:r>
              <w:rPr>
                <w:b w:val="false"/>
                <w:bCs w:val="false"/>
                <w:color w:val="000000"/>
                <w:sz w:val="20"/>
                <w:szCs w:val="20"/>
              </w:rPr>
              <w:t xml:space="preserve">Low at start, rising over time</w:t>
            </w:r>
          </w:p>
        </w:tc>
        <w:tc>
          <w:tcPr>
            <w:tcW w:type="dxa" w:w="4900"/>
            <w:tcMar>
              <w:top w:type="dxa" w:w="80"/>
              <w:left w:type="dxa" w:w="100"/>
              <w:bottom w:type="dxa" w:w="80"/>
              <w:right w:type="dxa" w:w="100"/>
            </w:tcMar>
          </w:tcPr>
          <w:p>
            <w:r>
              <w:rPr>
                <w:b w:val="false"/>
                <w:bCs w:val="false"/>
                <w:color w:val="000000"/>
                <w:sz w:val="20"/>
                <w:szCs w:val="20"/>
              </w:rPr>
              <w:t xml:space="preserve">Requires the project's own multi-season sensor history; this is the true long pole.</w:t>
            </w:r>
          </w:p>
        </w:tc>
      </w:tr>
      <w:tr>
        <w:tc>
          <w:tcPr>
            <w:tcW w:type="dxa" w:w="2400"/>
            <w:tcMar>
              <w:top w:type="dxa" w:w="80"/>
              <w:left w:type="dxa" w:w="100"/>
              <w:bottom w:type="dxa" w:w="80"/>
              <w:right w:type="dxa" w:w="100"/>
            </w:tcMar>
          </w:tcPr>
          <w:p>
            <w:r>
              <w:rPr>
                <w:b w:val="false"/>
                <w:bCs w:val="false"/>
                <w:color w:val="000000"/>
                <w:sz w:val="20"/>
                <w:szCs w:val="20"/>
              </w:rPr>
              <w:t xml:space="preserve">Cost / affordability</w:t>
            </w:r>
          </w:p>
        </w:tc>
        <w:tc>
          <w:tcPr>
            <w:tcW w:type="dxa" w:w="1500"/>
            <w:tcMar>
              <w:top w:type="dxa" w:w="80"/>
              <w:left w:type="dxa" w:w="100"/>
              <w:bottom w:type="dxa" w:w="80"/>
              <w:right w:type="dxa" w:w="100"/>
            </w:tcMar>
          </w:tcPr>
          <w:p>
            <w:r>
              <w:rPr>
                <w:b w:val="false"/>
                <w:bCs w:val="false"/>
                <w:color w:val="000000"/>
                <w:sz w:val="20"/>
                <w:szCs w:val="20"/>
              </w:rPr>
              <w:t xml:space="preserve">Medium</w:t>
            </w:r>
          </w:p>
        </w:tc>
        <w:tc>
          <w:tcPr>
            <w:tcW w:type="dxa" w:w="4900"/>
            <w:tcMar>
              <w:top w:type="dxa" w:w="80"/>
              <w:left w:type="dxa" w:w="100"/>
              <w:bottom w:type="dxa" w:w="80"/>
              <w:right w:type="dxa" w:w="100"/>
            </w:tcMar>
          </w:tcPr>
          <w:p>
            <w:r>
              <w:rPr>
                <w:b w:val="false"/>
                <w:bCs w:val="false"/>
                <w:color w:val="000000"/>
                <w:sz w:val="20"/>
                <w:szCs w:val="20"/>
              </w:rPr>
              <w:t xml:space="preserve">Feasible with the community-hub model; would be infeasible if every farmer needed individual hardware.</w:t>
            </w:r>
          </w:p>
        </w:tc>
      </w:tr>
      <w:tr>
        <w:tc>
          <w:tcPr>
            <w:tcW w:type="dxa" w:w="2400"/>
            <w:tcMar>
              <w:top w:type="dxa" w:w="80"/>
              <w:left w:type="dxa" w:w="100"/>
              <w:bottom w:type="dxa" w:w="80"/>
              <w:right w:type="dxa" w:w="100"/>
            </w:tcMar>
          </w:tcPr>
          <w:p>
            <w:r>
              <w:rPr>
                <w:b w:val="false"/>
                <w:bCs w:val="false"/>
                <w:color w:val="000000"/>
                <w:sz w:val="20"/>
                <w:szCs w:val="20"/>
              </w:rPr>
              <w:t xml:space="preserve">Regulatory / institutional</w:t>
            </w:r>
          </w:p>
        </w:tc>
        <w:tc>
          <w:tcPr>
            <w:tcW w:type="dxa" w:w="1500"/>
            <w:tcMar>
              <w:top w:type="dxa" w:w="80"/>
              <w:left w:type="dxa" w:w="100"/>
              <w:bottom w:type="dxa" w:w="80"/>
              <w:right w:type="dxa" w:w="100"/>
            </w:tcMar>
          </w:tcPr>
          <w:p>
            <w:r>
              <w:rPr>
                <w:b w:val="false"/>
                <w:bCs w:val="false"/>
                <w:color w:val="000000"/>
                <w:sz w:val="20"/>
                <w:szCs w:val="20"/>
              </w:rPr>
              <w:t xml:space="preserve">Medium</w:t>
            </w:r>
          </w:p>
        </w:tc>
        <w:tc>
          <w:tcPr>
            <w:tcW w:type="dxa" w:w="4900"/>
            <w:tcMar>
              <w:top w:type="dxa" w:w="80"/>
              <w:left w:type="dxa" w:w="100"/>
              <w:bottom w:type="dxa" w:w="80"/>
              <w:right w:type="dxa" w:w="100"/>
            </w:tcMar>
          </w:tcPr>
          <w:p>
            <w:r>
              <w:rPr>
                <w:b w:val="false"/>
                <w:bCs w:val="false"/>
                <w:color w:val="000000"/>
                <w:sz w:val="20"/>
                <w:szCs w:val="20"/>
              </w:rPr>
              <w:t xml:space="preserve">Needs MOUs with DAE/BARI/BRRI/BWDB and telecom data-partnership terms; achievable but takes lead time.</w:t>
            </w:r>
          </w:p>
        </w:tc>
      </w:tr>
      <w:tr>
        <w:tc>
          <w:tcPr>
            <w:tcW w:type="dxa" w:w="2400"/>
            <w:tcMar>
              <w:top w:type="dxa" w:w="80"/>
              <w:left w:type="dxa" w:w="100"/>
              <w:bottom w:type="dxa" w:w="80"/>
              <w:right w:type="dxa" w:w="100"/>
            </w:tcMar>
          </w:tcPr>
          <w:p>
            <w:r>
              <w:rPr>
                <w:b w:val="false"/>
                <w:bCs w:val="false"/>
                <w:color w:val="000000"/>
                <w:sz w:val="20"/>
                <w:szCs w:val="20"/>
              </w:rPr>
              <w:t xml:space="preserve">Adoption / social</w:t>
            </w:r>
          </w:p>
        </w:tc>
        <w:tc>
          <w:tcPr>
            <w:tcW w:type="dxa" w:w="1500"/>
            <w:tcMar>
              <w:top w:type="dxa" w:w="80"/>
              <w:left w:type="dxa" w:w="100"/>
              <w:bottom w:type="dxa" w:w="80"/>
              <w:right w:type="dxa" w:w="100"/>
            </w:tcMar>
          </w:tcPr>
          <w:p>
            <w:r>
              <w:rPr>
                <w:b w:val="false"/>
                <w:bCs w:val="false"/>
                <w:color w:val="000000"/>
                <w:sz w:val="20"/>
                <w:szCs w:val="20"/>
              </w:rPr>
              <w:t xml:space="preserve">Medium–High</w:t>
            </w:r>
          </w:p>
        </w:tc>
        <w:tc>
          <w:tcPr>
            <w:tcW w:type="dxa" w:w="4900"/>
            <w:tcMar>
              <w:top w:type="dxa" w:w="80"/>
              <w:left w:type="dxa" w:w="100"/>
              <w:bottom w:type="dxa" w:w="80"/>
              <w:right w:type="dxa" w:w="100"/>
            </w:tcMar>
          </w:tcPr>
          <w:p>
            <w:r>
              <w:rPr>
                <w:b w:val="false"/>
                <w:bCs w:val="false"/>
                <w:color w:val="000000"/>
                <w:sz w:val="20"/>
                <w:szCs w:val="20"/>
              </w:rPr>
              <w:t xml:space="preserve">Bengali voice + SMS + in-person hub support address the main adoption barriers directly.</w:t>
            </w:r>
          </w:p>
        </w:tc>
      </w:tr>
    </w:tbl>
    <w:p>
      <w:pPr>
        <w:pStyle w:val="Heading1"/>
        <w:spacing w:after="160" w:before="360"/>
      </w:pPr>
      <w:r>
        <w:t xml:space="preserve">14. Technical Practicality &amp;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5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Risk</w:t>
            </w:r>
          </w:p>
        </w:tc>
        <w:tc>
          <w:tcPr>
            <w:tcW w:type="dxa" w:w="1300"/>
            <w:shd w:fill="1F3864" w:val="clear"/>
            <w:tcMar>
              <w:top w:type="dxa" w:w="80"/>
              <w:left w:type="dxa" w:w="100"/>
              <w:bottom w:type="dxa" w:w="80"/>
              <w:right w:type="dxa" w:w="100"/>
            </w:tcMar>
          </w:tcPr>
          <w:p>
            <w:r>
              <w:rPr>
                <w:b/>
                <w:bCs/>
                <w:color w:val="FFFFFF"/>
                <w:sz w:val="20"/>
                <w:szCs w:val="20"/>
              </w:rPr>
              <w:t xml:space="preserve">Likelihood</w:t>
            </w:r>
          </w:p>
        </w:tc>
        <w:tc>
          <w:tcPr>
            <w:tcW w:type="dxa" w:w="4500"/>
            <w:shd w:fill="1F3864" w:val="clear"/>
            <w:tcMar>
              <w:top w:type="dxa" w:w="80"/>
              <w:left w:type="dxa" w:w="100"/>
              <w:bottom w:type="dxa" w:w="80"/>
              <w:right w:type="dxa" w:w="100"/>
            </w:tcMar>
          </w:tcPr>
          <w:p>
            <w:r>
              <w:rPr>
                <w:b/>
                <w:bCs/>
                <w:color w:val="FFFFFF"/>
                <w:sz w:val="20"/>
                <w:szCs w:val="20"/>
              </w:rPr>
              <w:t xml:space="preserve">Mitigation</w:t>
            </w:r>
          </w:p>
        </w:tc>
      </w:tr>
      <w:tr>
        <w:tc>
          <w:tcPr>
            <w:tcW w:type="dxa" w:w="3000"/>
            <w:tcMar>
              <w:top w:type="dxa" w:w="80"/>
              <w:left w:type="dxa" w:w="100"/>
              <w:bottom w:type="dxa" w:w="80"/>
              <w:right w:type="dxa" w:w="100"/>
            </w:tcMar>
          </w:tcPr>
          <w:p>
            <w:r>
              <w:rPr>
                <w:b w:val="false"/>
                <w:bCs w:val="false"/>
                <w:color w:val="000000"/>
                <w:sz w:val="20"/>
                <w:szCs w:val="20"/>
              </w:rPr>
              <w:t xml:space="preserve">Connectivity gaps in remote coastal/char areas</w:t>
            </w:r>
          </w:p>
        </w:tc>
        <w:tc>
          <w:tcPr>
            <w:tcW w:type="dxa" w:w="1300"/>
            <w:tcMar>
              <w:top w:type="dxa" w:w="80"/>
              <w:left w:type="dxa" w:w="100"/>
              <w:bottom w:type="dxa" w:w="80"/>
              <w:right w:type="dxa" w:w="100"/>
            </w:tcMar>
          </w:tcPr>
          <w:p>
            <w:r>
              <w:rPr>
                <w:b w:val="false"/>
                <w:bCs w:val="false"/>
                <w:color w:val="000000"/>
                <w:sz w:val="20"/>
                <w:szCs w:val="20"/>
              </w:rPr>
              <w:t xml:space="preserve">High</w:t>
            </w:r>
          </w:p>
        </w:tc>
        <w:tc>
          <w:tcPr>
            <w:tcW w:type="dxa" w:w="4500"/>
            <w:tcMar>
              <w:top w:type="dxa" w:w="80"/>
              <w:left w:type="dxa" w:w="100"/>
              <w:bottom w:type="dxa" w:w="80"/>
              <w:right w:type="dxa" w:w="100"/>
            </w:tcMar>
          </w:tcPr>
          <w:p>
            <w:r>
              <w:rPr>
                <w:b w:val="false"/>
                <w:bCs w:val="false"/>
                <w:color w:val="000000"/>
                <w:sz w:val="20"/>
                <w:szCs w:val="20"/>
              </w:rPr>
              <w:t xml:space="preserve">SMS fallback + store-and-forward sensor nodes that buffer readings until a gateway link is available.</w:t>
            </w:r>
          </w:p>
        </w:tc>
      </w:tr>
      <w:tr>
        <w:tc>
          <w:tcPr>
            <w:tcW w:type="dxa" w:w="3000"/>
            <w:tcMar>
              <w:top w:type="dxa" w:w="80"/>
              <w:left w:type="dxa" w:w="100"/>
              <w:bottom w:type="dxa" w:w="80"/>
              <w:right w:type="dxa" w:w="100"/>
            </w:tcMar>
          </w:tcPr>
          <w:p>
            <w:r>
              <w:rPr>
                <w:b w:val="false"/>
                <w:bCs w:val="false"/>
                <w:color w:val="000000"/>
                <w:sz w:val="20"/>
                <w:szCs w:val="20"/>
              </w:rPr>
              <w:t xml:space="preserve">Sensor fouling/failure in monsoon flooding</w:t>
            </w:r>
          </w:p>
        </w:tc>
        <w:tc>
          <w:tcPr>
            <w:tcW w:type="dxa" w:w="1300"/>
            <w:tcMar>
              <w:top w:type="dxa" w:w="80"/>
              <w:left w:type="dxa" w:w="100"/>
              <w:bottom w:type="dxa" w:w="80"/>
              <w:right w:type="dxa" w:w="100"/>
            </w:tcMar>
          </w:tcPr>
          <w:p>
            <w:r>
              <w:rPr>
                <w:b w:val="false"/>
                <w:bCs w:val="false"/>
                <w:color w:val="000000"/>
                <w:sz w:val="20"/>
                <w:szCs w:val="20"/>
              </w:rPr>
              <w:t xml:space="preserve">High</w:t>
            </w:r>
          </w:p>
        </w:tc>
        <w:tc>
          <w:tcPr>
            <w:tcW w:type="dxa" w:w="4500"/>
            <w:tcMar>
              <w:top w:type="dxa" w:w="80"/>
              <w:left w:type="dxa" w:w="100"/>
              <w:bottom w:type="dxa" w:w="80"/>
              <w:right w:type="dxa" w:w="100"/>
            </w:tcMar>
          </w:tcPr>
          <w:p>
            <w:r>
              <w:rPr>
                <w:b w:val="false"/>
                <w:bCs w:val="false"/>
                <w:color w:val="000000"/>
                <w:sz w:val="20"/>
                <w:szCs w:val="20"/>
              </w:rPr>
              <w:t xml:space="preserve">IP67 enclosures, scheduled recalibration/cleaning cycles, redundant low-cost nodes rather than fewer expensive ones.</w:t>
            </w:r>
          </w:p>
        </w:tc>
      </w:tr>
      <w:tr>
        <w:tc>
          <w:tcPr>
            <w:tcW w:type="dxa" w:w="3000"/>
            <w:tcMar>
              <w:top w:type="dxa" w:w="80"/>
              <w:left w:type="dxa" w:w="100"/>
              <w:bottom w:type="dxa" w:w="80"/>
              <w:right w:type="dxa" w:w="100"/>
            </w:tcMar>
          </w:tcPr>
          <w:p>
            <w:r>
              <w:rPr>
                <w:b w:val="false"/>
                <w:bCs w:val="false"/>
                <w:color w:val="000000"/>
                <w:sz w:val="20"/>
                <w:szCs w:val="20"/>
              </w:rPr>
              <w:t xml:space="preserve">Sparse labeled data slowing model accuracy gains</w:t>
            </w:r>
          </w:p>
        </w:tc>
        <w:tc>
          <w:tcPr>
            <w:tcW w:type="dxa" w:w="1300"/>
            <w:tcMar>
              <w:top w:type="dxa" w:w="80"/>
              <w:left w:type="dxa" w:w="100"/>
              <w:bottom w:type="dxa" w:w="80"/>
              <w:right w:type="dxa" w:w="100"/>
            </w:tcMar>
          </w:tcPr>
          <w:p>
            <w:r>
              <w:rPr>
                <w:b w:val="false"/>
                <w:bCs w:val="false"/>
                <w:color w:val="000000"/>
                <w:sz w:val="20"/>
                <w:szCs w:val="20"/>
              </w:rPr>
              <w:t xml:space="preserve">High</w:t>
            </w:r>
          </w:p>
        </w:tc>
        <w:tc>
          <w:tcPr>
            <w:tcW w:type="dxa" w:w="4500"/>
            <w:tcMar>
              <w:top w:type="dxa" w:w="80"/>
              <w:left w:type="dxa" w:w="100"/>
              <w:bottom w:type="dxa" w:w="80"/>
              <w:right w:type="dxa" w:w="100"/>
            </w:tcMar>
          </w:tcPr>
          <w:p>
            <w:r>
              <w:rPr>
                <w:b w:val="false"/>
                <w:bCs w:val="false"/>
                <w:color w:val="000000"/>
                <w:sz w:val="20"/>
                <w:szCs w:val="20"/>
              </w:rPr>
              <w:t xml:space="preserve">Start with physically-grounded models (EC→salinity) that need little labeled data; treat farmer feedback as the labeling engine.</w:t>
            </w:r>
          </w:p>
        </w:tc>
      </w:tr>
      <w:tr>
        <w:tc>
          <w:tcPr>
            <w:tcW w:type="dxa" w:w="3000"/>
            <w:tcMar>
              <w:top w:type="dxa" w:w="80"/>
              <w:left w:type="dxa" w:w="100"/>
              <w:bottom w:type="dxa" w:w="80"/>
              <w:right w:type="dxa" w:w="100"/>
            </w:tcMar>
          </w:tcPr>
          <w:p>
            <w:r>
              <w:rPr>
                <w:b w:val="false"/>
                <w:bCs w:val="false"/>
                <w:color w:val="000000"/>
                <w:sz w:val="20"/>
                <w:szCs w:val="20"/>
              </w:rPr>
              <w:t xml:space="preserve">Farmer distrust of automated advice</w:t>
            </w:r>
          </w:p>
        </w:tc>
        <w:tc>
          <w:tcPr>
            <w:tcW w:type="dxa" w:w="1300"/>
            <w:tcMar>
              <w:top w:type="dxa" w:w="80"/>
              <w:left w:type="dxa" w:w="100"/>
              <w:bottom w:type="dxa" w:w="80"/>
              <w:right w:type="dxa" w:w="100"/>
            </w:tcMar>
          </w:tcPr>
          <w:p>
            <w:r>
              <w:rPr>
                <w:b w:val="false"/>
                <w:bCs w:val="false"/>
                <w:color w:val="000000"/>
                <w:sz w:val="20"/>
                <w:szCs w:val="20"/>
              </w:rPr>
              <w:t xml:space="preserve">Medium</w:t>
            </w:r>
          </w:p>
        </w:tc>
        <w:tc>
          <w:tcPr>
            <w:tcW w:type="dxa" w:w="4500"/>
            <w:tcMar>
              <w:top w:type="dxa" w:w="80"/>
              <w:left w:type="dxa" w:w="100"/>
              <w:bottom w:type="dxa" w:w="80"/>
              <w:right w:type="dxa" w:w="100"/>
            </w:tcMar>
          </w:tcPr>
          <w:p>
            <w:r>
              <w:rPr>
                <w:b w:val="false"/>
                <w:bCs w:val="false"/>
                <w:color w:val="000000"/>
                <w:sz w:val="20"/>
                <w:szCs w:val="20"/>
              </w:rPr>
              <w:t xml:space="preserve">Agriculture-officer co-signed recommendations in early phases; always show the reasoning (e.g., "salinity rising because..."), never a bare verdict.</w:t>
            </w:r>
          </w:p>
        </w:tc>
      </w:tr>
      <w:tr>
        <w:tc>
          <w:tcPr>
            <w:tcW w:type="dxa" w:w="3000"/>
            <w:tcMar>
              <w:top w:type="dxa" w:w="80"/>
              <w:left w:type="dxa" w:w="100"/>
              <w:bottom w:type="dxa" w:w="80"/>
              <w:right w:type="dxa" w:w="100"/>
            </w:tcMar>
          </w:tcPr>
          <w:p>
            <w:r>
              <w:rPr>
                <w:b w:val="false"/>
                <w:bCs w:val="false"/>
                <w:color w:val="000000"/>
                <w:sz w:val="20"/>
                <w:szCs w:val="20"/>
              </w:rPr>
              <w:t xml:space="preserve">Generative AI producing ungrounded agronomic text</w:t>
            </w:r>
          </w:p>
        </w:tc>
        <w:tc>
          <w:tcPr>
            <w:tcW w:type="dxa" w:w="1300"/>
            <w:tcMar>
              <w:top w:type="dxa" w:w="80"/>
              <w:left w:type="dxa" w:w="100"/>
              <w:bottom w:type="dxa" w:w="80"/>
              <w:right w:type="dxa" w:w="100"/>
            </w:tcMar>
          </w:tcPr>
          <w:p>
            <w:r>
              <w:rPr>
                <w:b w:val="false"/>
                <w:bCs w:val="false"/>
                <w:color w:val="000000"/>
                <w:sz w:val="20"/>
                <w:szCs w:val="20"/>
              </w:rPr>
              <w:t xml:space="preserve">Medium</w:t>
            </w:r>
          </w:p>
        </w:tc>
        <w:tc>
          <w:tcPr>
            <w:tcW w:type="dxa" w:w="4500"/>
            <w:tcMar>
              <w:top w:type="dxa" w:w="80"/>
              <w:left w:type="dxa" w:w="100"/>
              <w:bottom w:type="dxa" w:w="80"/>
              <w:right w:type="dxa" w:w="100"/>
            </w:tcMar>
          </w:tcPr>
          <w:p>
            <w:r>
              <w:rPr>
                <w:b w:val="false"/>
                <w:bCs w:val="false"/>
                <w:color w:val="000000"/>
                <w:sz w:val="20"/>
                <w:szCs w:val="20"/>
              </w:rPr>
              <w:t xml:space="preserve">Template-grounded generation only (Section 4.3); no free-form agronomic generation without agronomist-approved source text.</w:t>
            </w:r>
          </w:p>
        </w:tc>
      </w:tr>
      <w:tr>
        <w:tc>
          <w:tcPr>
            <w:tcW w:type="dxa" w:w="3000"/>
            <w:tcMar>
              <w:top w:type="dxa" w:w="80"/>
              <w:left w:type="dxa" w:w="100"/>
              <w:bottom w:type="dxa" w:w="80"/>
              <w:right w:type="dxa" w:w="100"/>
            </w:tcMar>
          </w:tcPr>
          <w:p>
            <w:r>
              <w:rPr>
                <w:b w:val="false"/>
                <w:bCs w:val="false"/>
                <w:color w:val="000000"/>
                <w:sz w:val="20"/>
                <w:szCs w:val="20"/>
              </w:rPr>
              <w:t xml:space="preserve">Institutional data-sharing delays (DAE/BARI/BWDB)</w:t>
            </w:r>
          </w:p>
        </w:tc>
        <w:tc>
          <w:tcPr>
            <w:tcW w:type="dxa" w:w="1300"/>
            <w:tcMar>
              <w:top w:type="dxa" w:w="80"/>
              <w:left w:type="dxa" w:w="100"/>
              <w:bottom w:type="dxa" w:w="80"/>
              <w:right w:type="dxa" w:w="100"/>
            </w:tcMar>
          </w:tcPr>
          <w:p>
            <w:r>
              <w:rPr>
                <w:b w:val="false"/>
                <w:bCs w:val="false"/>
                <w:color w:val="000000"/>
                <w:sz w:val="20"/>
                <w:szCs w:val="20"/>
              </w:rPr>
              <w:t xml:space="preserve">Medium</w:t>
            </w:r>
          </w:p>
        </w:tc>
        <w:tc>
          <w:tcPr>
            <w:tcW w:type="dxa" w:w="4500"/>
            <w:tcMar>
              <w:top w:type="dxa" w:w="80"/>
              <w:left w:type="dxa" w:w="100"/>
              <w:bottom w:type="dxa" w:w="80"/>
              <w:right w:type="dxa" w:w="100"/>
            </w:tcMar>
          </w:tcPr>
          <w:p>
            <w:r>
              <w:rPr>
                <w:b w:val="false"/>
                <w:bCs w:val="false"/>
                <w:color w:val="000000"/>
                <w:sz w:val="20"/>
                <w:szCs w:val="20"/>
              </w:rPr>
              <w:t xml:space="preserve">Begin Phase 1 entirely on public satellite/weather data so the roadmap does not block on MOUs.</w:t>
            </w:r>
          </w:p>
        </w:tc>
      </w:tr>
      <w:tr>
        <w:tc>
          <w:tcPr>
            <w:tcW w:type="dxa" w:w="3000"/>
            <w:tcMar>
              <w:top w:type="dxa" w:w="80"/>
              <w:left w:type="dxa" w:w="100"/>
              <w:bottom w:type="dxa" w:w="80"/>
              <w:right w:type="dxa" w:w="100"/>
            </w:tcMar>
          </w:tcPr>
          <w:p>
            <w:r>
              <w:rPr>
                <w:b w:val="false"/>
                <w:bCs w:val="false"/>
                <w:color w:val="000000"/>
                <w:sz w:val="20"/>
                <w:szCs w:val="20"/>
              </w:rPr>
              <w:t xml:space="preserve">IoT device security/tampering in open fields</w:t>
            </w:r>
          </w:p>
        </w:tc>
        <w:tc>
          <w:tcPr>
            <w:tcW w:type="dxa" w:w="1300"/>
            <w:tcMar>
              <w:top w:type="dxa" w:w="80"/>
              <w:left w:type="dxa" w:w="100"/>
              <w:bottom w:type="dxa" w:w="80"/>
              <w:right w:type="dxa" w:w="100"/>
            </w:tcMar>
          </w:tcPr>
          <w:p>
            <w:r>
              <w:rPr>
                <w:b w:val="false"/>
                <w:bCs w:val="false"/>
                <w:color w:val="000000"/>
                <w:sz w:val="20"/>
                <w:szCs w:val="20"/>
              </w:rPr>
              <w:t xml:space="preserve">Medium</w:t>
            </w:r>
          </w:p>
        </w:tc>
        <w:tc>
          <w:tcPr>
            <w:tcW w:type="dxa" w:w="4500"/>
            <w:tcMar>
              <w:top w:type="dxa" w:w="80"/>
              <w:left w:type="dxa" w:w="100"/>
              <w:bottom w:type="dxa" w:w="80"/>
              <w:right w:type="dxa" w:w="100"/>
            </w:tcMar>
          </w:tcPr>
          <w:p>
            <w:r>
              <w:rPr>
                <w:b w:val="false"/>
                <w:bCs w:val="false"/>
                <w:color w:val="000000"/>
                <w:sz w:val="20"/>
                <w:szCs w:val="20"/>
              </w:rPr>
              <w:t xml:space="preserve">Per-device keys, signed firmware updates, anomaly detection on ingestion.</w:t>
            </w:r>
          </w:p>
        </w:tc>
      </w:tr>
    </w:tbl>
    <w:p>
      <w:pPr>
        <w:pStyle w:val="Heading1"/>
        <w:spacing w:after="160" w:before="360"/>
      </w:pPr>
      <w:r>
        <w:t xml:space="preserve">15. Ease of Implementation &amp; Phased Roadmap</w:t>
      </w:r>
    </w:p>
    <w:p>
      <w:pPr>
        <w:pStyle w:val="Heading2"/>
        <w:spacing w:after="120" w:before="280"/>
      </w:pPr>
      <w:r>
        <w:t xml:space="preserve">15.1 Phase 1 (Months 0–6): Data-Driven Prototype</w:t>
      </w:r>
    </w:p>
    <w:p>
      <w:pPr>
        <w:pStyle w:val="ListParagraph"/>
        <w:numPr>
          <w:ilvl w:val="0"/>
          <w:numId w:val="2"/>
        </w:numPr>
        <w:spacing w:after="80"/>
      </w:pPr>
      <w:r>
        <w:t xml:space="preserve">Build entirely on free satellite + weather data; no field hardware required yet.</w:t>
      </w:r>
    </w:p>
    <w:p>
      <w:pPr>
        <w:pStyle w:val="ListParagraph"/>
        <w:numPr>
          <w:ilvl w:val="0"/>
          <w:numId w:val="2"/>
        </w:numPr>
        <w:spacing w:after="80"/>
      </w:pPr>
      <w:r>
        <w:t xml:space="preserve">Team needed: 2–3 AI/ML engineers, 1–2 backend engineers, 1 GIS/remote-sensing specialist, 1 agronomist advisor.</w:t>
      </w:r>
    </w:p>
    <w:p>
      <w:pPr>
        <w:pStyle w:val="ListParagraph"/>
        <w:numPr>
          <w:ilvl w:val="0"/>
          <w:numId w:val="2"/>
        </w:numPr>
        <w:spacing w:after="80"/>
      </w:pPr>
      <w:r>
        <w:t xml:space="preserve">Deliverable: working flood/drought/vegetation-stress alerts + Bengali advisory templates + basic app/SMS delivery.</w:t>
      </w:r>
    </w:p>
    <w:p>
      <w:pPr>
        <w:pStyle w:val="Heading2"/>
        <w:spacing w:after="120" w:before="280"/>
      </w:pPr>
      <w:r>
        <w:t xml:space="preserve">15.2 Phase 2 (Months 6–18): Pilot with Hardware</w:t>
      </w:r>
    </w:p>
    <w:p>
      <w:pPr>
        <w:pStyle w:val="ListParagraph"/>
        <w:numPr>
          <w:ilvl w:val="0"/>
          <w:numId w:val="2"/>
        </w:numPr>
        <w:spacing w:after="80"/>
      </w:pPr>
      <w:r>
        <w:t xml:space="preserve">Deploy community hub stations in one coastal site (e.g., Khulna/Satkhira) and one northern drought site (e.g., Rajshahi).</w:t>
      </w:r>
    </w:p>
    <w:p>
      <w:pPr>
        <w:pStyle w:val="ListParagraph"/>
        <w:numPr>
          <w:ilvl w:val="0"/>
          <w:numId w:val="2"/>
        </w:numPr>
        <w:spacing w:after="80"/>
      </w:pPr>
      <w:r>
        <w:t xml:space="preserve">Team adds: 1–2 embedded/IoT engineers, field technicians for installation and calibration, a data-labeling/feedback coordinator.</w:t>
      </w:r>
    </w:p>
    <w:p>
      <w:pPr>
        <w:pStyle w:val="ListParagraph"/>
        <w:numPr>
          <w:ilvl w:val="0"/>
          <w:numId w:val="2"/>
        </w:numPr>
        <w:spacing w:after="80"/>
      </w:pPr>
      <w:r>
        <w:t xml:space="preserve">Deliverable: validated salinity/drought models against real sensor + lab ground truth; refined fusion engine.</w:t>
      </w:r>
    </w:p>
    <w:p>
      <w:pPr>
        <w:pStyle w:val="Heading2"/>
        <w:spacing w:after="120" w:before="280"/>
      </w:pPr>
      <w:r>
        <w:t xml:space="preserve">15.3 Phase 3+ (Years 2–5): Scale &amp; Advanced Sensing</w:t>
      </w:r>
    </w:p>
    <w:p>
      <w:pPr>
        <w:pStyle w:val="ListParagraph"/>
        <w:numPr>
          <w:ilvl w:val="0"/>
          <w:numId w:val="2"/>
        </w:numPr>
        <w:spacing w:after="80"/>
      </w:pPr>
      <w:r>
        <w:t xml:space="preserve">Expand hub network by district; begin chemistry sensing upgrades (NPK/ISE) and the nanotechnology R&amp;D track in parallel via university partnership.</w:t>
      </w:r>
    </w:p>
    <w:p>
      <w:pPr>
        <w:pStyle w:val="ListParagraph"/>
        <w:numPr>
          <w:ilvl w:val="0"/>
          <w:numId w:val="2"/>
        </w:numPr>
        <w:spacing w:after="80"/>
      </w:pPr>
      <w:r>
        <w:t xml:space="preserve">Introduce a sustainable financing model (subsidy + telecom partnership + light subscription) as farmer count grows past the free-tier-affordable range.</w:t>
      </w:r>
    </w:p>
    <w:p>
      <w:pPr>
        <w:pStyle w:val="Heading2"/>
        <w:spacing w:after="120" w:before="280"/>
      </w:pPr>
      <w:r>
        <w:t xml:space="preserve">15.4 Overall Ease-of-Implementation Verdict</w:t>
      </w:r>
    </w:p>
    <w:p>
      <w:pPr>
        <w:spacing w:after="160" w:line="300"/>
        <w:jc w:val="both"/>
      </w:pPr>
      <w:r>
        <w:t xml:space="preserve">Phase 1 is easy to implement with a small team and zero field hardware risk. Phase 2 is where real engineering effort concentrates (hardware durability, calibration, institutional data access) and should be budgeted the most schedule slack. Later phases are scaling problems more than invention problems, which is a favorable risk profile for a competition/early-stage project.</w:t>
      </w:r>
    </w:p>
    <w:p>
      <w:pPr>
        <w:pStyle w:val="Heading1"/>
        <w:spacing w:after="160" w:before="360"/>
      </w:pPr>
      <w:r>
        <w:t xml:space="preserve">16. Recommendations</w:t>
      </w:r>
    </w:p>
    <w:p>
      <w:pPr>
        <w:pStyle w:val="ListParagraph"/>
        <w:numPr>
          <w:ilvl w:val="0"/>
          <w:numId w:val="2"/>
        </w:numPr>
        <w:spacing w:after="80"/>
      </w:pPr>
      <w:r>
        <w:t xml:space="preserve">Sequence the roadmap by data readiness, not by feature ambition: ship satellite/weather-driven hazard alerts first, precision farm-level chemistry sensing last.</w:t>
      </w:r>
    </w:p>
    <w:p>
      <w:pPr>
        <w:pStyle w:val="ListParagraph"/>
        <w:numPr>
          <w:ilvl w:val="0"/>
          <w:numId w:val="2"/>
        </w:numPr>
        <w:spacing w:after="80"/>
      </w:pPr>
      <w:r>
        <w:t xml:space="preserve">Treat the community hub gateway as the central cost-control mechanism — do not design toward per-farmer cellular hardware.</w:t>
      </w:r>
    </w:p>
    <w:p>
      <w:pPr>
        <w:pStyle w:val="ListParagraph"/>
        <w:numPr>
          <w:ilvl w:val="0"/>
          <w:numId w:val="2"/>
        </w:numPr>
        <w:spacing w:after="80"/>
      </w:pPr>
      <w:r>
        <w:t xml:space="preserve">Keep the generative-AI advisory layer template-grounded to avoid ungrounded agronomic claims reaching farmers.</w:t>
      </w:r>
    </w:p>
    <w:p>
      <w:pPr>
        <w:pStyle w:val="ListParagraph"/>
        <w:numPr>
          <w:ilvl w:val="0"/>
          <w:numId w:val="2"/>
        </w:numPr>
        <w:spacing w:after="80"/>
      </w:pPr>
      <w:r>
        <w:t xml:space="preserve">Start institutional MOU conversations (DAE, BARI, BRRI, BWDB, BMD) in parallel with Phase 1, since they are the longest lead-time item, not the hardest technical one.</w:t>
      </w:r>
    </w:p>
    <w:p>
      <w:pPr>
        <w:pStyle w:val="ListParagraph"/>
        <w:numPr>
          <w:ilvl w:val="0"/>
          <w:numId w:val="2"/>
        </w:numPr>
        <w:spacing w:after="80"/>
      </w:pPr>
      <w:r>
        <w:t xml:space="preserve">Fund a small, separate nanomaterial-sensor research track at a university partner now, so it is field-ready by Phase 3 rather than blocking the core roadmap.</w:t>
      </w:r>
    </w:p>
    <w:p>
      <w:pPr>
        <w:pStyle w:val="ListParagraph"/>
        <w:numPr>
          <w:ilvl w:val="0"/>
          <w:numId w:val="2"/>
        </w:numPr>
        <w:spacing w:after="80"/>
      </w:pPr>
      <w:r>
        <w:t xml:space="preserve">Design the farmer-feedback loop (app/SMS reply on outcomes) from day one — it is the project's only path to the labeled data that will ultimately drive model accuracy.</w:t>
      </w:r>
    </w:p>
    <w:p>
      <w:pPr>
        <w:pStyle w:val="Heading1"/>
        <w:spacing w:after="160" w:before="360"/>
      </w:pPr>
      <w:r>
        <w:t xml:space="preserve">17. Conclusion</w:t>
      </w:r>
    </w:p>
    <w:p>
      <w:pPr>
        <w:spacing w:after="160" w:line="300"/>
        <w:jc w:val="both"/>
      </w:pPr>
      <w:r>
        <w:t xml:space="preserve">AgroShield AI is a feasible, well-sequenced project: its highest-value early features rely on freely available satellite and weather data, its hardware cost is controlled through a shared community-hub design, and its riskiest components (dense chemical sensing, nanomaterial sensors) are correctly deferred to later phases where they can be developed in parallel rather than blocking the core rollout. The main execution risk is not any single technology but the coordination effort — institutional data partnerships, field maintenance operations, and farmer trust-building — required to keep all five layers (sensing, connectivity, data, AI, delivery) working together as farmer count scales from hundreds to hundreds of thousands.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2E7D32"/>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2026-09-26T07:40:21.792Z</dcterms:created>
  <dcterms:modified xsi:type="dcterms:W3CDTF">2026-09-26T07:40:21.800Z</dcterms:modified>
</cp:coreProperties>
</file>

<file path=docProps/custom.xml><?xml version="1.0" encoding="utf-8"?>
<Properties xmlns="http://schemas.openxmlformats.org/officeDocument/2006/custom-properties" xmlns:vt="http://schemas.openxmlformats.org/officeDocument/2006/docPropsVTypes"/>
</file>