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la Reunión Retrospectiva</w:t>
      </w:r>
    </w:p>
    <w:p>
      <w:pPr>
        <w:pStyle w:val="Heading1"/>
      </w:pPr>
      <w:r>
        <w:t>Información de la empresa y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Empresa / Organización</w:t>
            </w:r>
          </w:p>
        </w:tc>
        <w:tc>
          <w:tcPr>
            <w:tcW w:type="dxa" w:w="4320"/>
          </w:tcPr>
          <w:p>
            <w:r>
              <w:t>Duoc UC. Escuela de Informática y Telecomunicaciones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SmartExpense AI (SEAI)</w:t>
            </w:r>
          </w:p>
        </w:tc>
      </w:tr>
    </w:tbl>
    <w:p>
      <w:pPr>
        <w:pStyle w:val="Heading1"/>
      </w:pPr>
      <w:r>
        <w:t>Información de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>
              <w:t>Sede Melipilla (Reunión Presencial/Online)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17/10/2026</w:t>
            </w:r>
          </w:p>
        </w:tc>
      </w:tr>
      <w:tr>
        <w:tc>
          <w:tcPr>
            <w:tcW w:type="dxa" w:w="4320"/>
          </w:tcPr>
          <w:p>
            <w:r>
              <w:t>Número de iteración / 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Personas convocadas a la reunión</w:t>
            </w:r>
          </w:p>
        </w:tc>
        <w:tc>
          <w:tcPr>
            <w:tcW w:type="dxa" w:w="4320"/>
          </w:tcPr>
          <w:p>
            <w:r>
              <w:t>Tomás Hinojosa, Diego Melo, Cristóbal Ballesteros</w:t>
            </w:r>
          </w:p>
        </w:tc>
      </w:tr>
      <w:tr>
        <w:tc>
          <w:tcPr>
            <w:tcW w:type="dxa" w:w="4320"/>
          </w:tcPr>
          <w:p>
            <w:r>
              <w:t>Personas que asistieron a la reunión</w:t>
            </w:r>
          </w:p>
        </w:tc>
        <w:tc>
          <w:tcPr>
            <w:tcW w:type="dxa" w:w="4320"/>
          </w:tcPr>
          <w:p>
            <w:r>
              <w:t>Tomás Hinojosa, Diego Melo, Cristóbal Ballesteros</w:t>
            </w:r>
          </w:p>
        </w:tc>
      </w:tr>
    </w:tbl>
    <w:p>
      <w:pPr>
        <w:pStyle w:val="Heading1"/>
      </w:pPr>
      <w:r>
        <w:t>Formulario de reunión retrospectiva</w:t>
      </w:r>
    </w:p>
    <w:p>
      <w:pPr>
        <w:pStyle w:val="Heading2"/>
      </w:pPr>
      <w:r>
        <w:t>¿Qué salió bien en la iteración? (aciertos)</w:t>
      </w:r>
    </w:p>
    <w:p>
      <w:r>
        <w:t>• La implementación exitosa de la arquitectura dual (On-Premise / Cloud) usando Docker Compose sin depender de servicios de pago externos.</w:t>
      </w:r>
    </w:p>
    <w:p>
      <w:r>
        <w:t>• El uso de Pandas facilitó y aceleró drásticamente la creación de las planillas contables auditables con fórmulas dinámicas de IVA.</w:t>
      </w:r>
    </w:p>
    <w:p>
      <w:r>
        <w:t>• El preprocesamiento con filtros de binarización adaptativa (OpenCV) demostró alta eficacia para limpiar boletas térmicas dañadas.</w:t>
      </w:r>
    </w:p>
    <w:p>
      <w:pPr>
        <w:pStyle w:val="Heading2"/>
      </w:pPr>
      <w:r>
        <w:t>¿Qué no salió bien en la iteración? (errores)</w:t>
      </w:r>
    </w:p>
    <w:p>
      <w:r>
        <w:t>• Dificultades iniciales al procesar boletas extremadamente desgastadas que obligaron a realizar un ajuste manual excesivo de los umbrales de la imagen.</w:t>
      </w:r>
    </w:p>
    <w:p>
      <w:r>
        <w:t>• Conflictos de red local durante las primeras pruebas del despliegue On-Premise con PostgreSQL y FastAPI en Docker.</w:t>
      </w:r>
    </w:p>
    <w:p>
      <w:pPr>
        <w:pStyle w:val="Heading2"/>
      </w:pPr>
      <w:r>
        <w:t>¿Qué mejoras vamos a implementar en la próxima iteración? (recomendaciones de mejora continua)</w:t>
      </w:r>
    </w:p>
    <w:p>
      <w:r>
        <w:t>• Implementar un pipeline automático para ajustar dinámicamente los umbrales de binarización basándose en el contraste general de la imagen capturada.</w:t>
      </w:r>
    </w:p>
    <w:p>
      <w:r>
        <w:t>• Documentar explícitamente el uso de "Docker Compose Profiles" para alternar rápidamente los servicios de red sin provocar colisiones de puertos.</w:t>
      </w:r>
    </w:p>
    <w:p>
      <w:r>
        <w:t>• Refinar el modelo de Machine Learning mediante la inyección de más muestras reales proporcionadas por el cliente Jaime Guzmán, para aumentar el porcentaje de confianza de extracción.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