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Sí, hemos avanzado de forma sólida según la planificación inicial de la Fase 2. Lo que más ha facilitado nuestro progreso es el uso de herramientas estandarizadas y de código abierto como Docker Compose para aislar los entornos, y la definición clara del modelo relacional en PostgreSQL. Como dificultad inicial, tuvimos que gestionar algunos detalles técnicos en la configuración de las redes internas de los contenedores y asegurar que la estructura de la base de datos soportara los hashes de auditoría exigidos por el cliente (el contador Jaime Guzmán), pero logramos resolverlo manteniendo una buena coordinación en el equipo. </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595959"/>
              </w:rPr>
            </w:pPr>
            <w:r w:rsidDel="00000000" w:rsidR="00000000" w:rsidRPr="00000000">
              <w:rPr>
                <w:b w:val="1"/>
                <w:bCs w:val="1"/>
                <w:color w:val="595959"/>
                <w:rtl w:val="0"/>
              </w:rPr>
              <w:t xml:space="preserve">Al principio enfrentamos algunos problemas de coordinación en el equipo debido a la distribución de tiempos y la sincronización de las distintas ramas de trabajo. Para resolverlo, implementamos una comunicación más fluida a través de reuniones rápidas de alineación y organizamos mejor la integración del código mediante el flujo de trabajo en Git. De cara a las siguientes entregas, planeamos mantener esta rutina de sincronización periódica para evitar cuellos de botella y asegurar que la arquitectura On-Premise y Cloud avance en conjunto con los componentes de la API y la Inteligencia Artificial.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595959"/>
              </w:rPr>
            </w:pPr>
            <w:r w:rsidDel="00000000" w:rsidR="00000000" w:rsidRPr="00000000">
              <w:rPr>
                <w:b w:val="1"/>
                <w:bCs w:val="1"/>
                <w:color w:val="595959"/>
                <w:rtl w:val="0"/>
              </w:rPr>
              <w:t xml:space="preserve">Evalúo mi desempeño de forma muy positiva. Destacó el liderazgo en la estructuración de la infraestructura base y la modelación de los datos orientados a los estándares de contabilidad y auditoría. Para mejorar, me gustaría profundizar aún más en la optimización de los tiempos de respuesta de los contenedores al momento de integrarse con el motor de Inteligencia Artificial.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595959"/>
              </w:rPr>
            </w:pPr>
            <w:r w:rsidDel="00000000" w:rsidR="00000000" w:rsidRPr="00000000">
              <w:rPr>
                <w:b w:val="1"/>
                <w:bCs w:val="1"/>
                <w:color w:val="595959"/>
                <w:rtl w:val="0"/>
              </w:rPr>
              <w:t xml:space="preserve">Por ahora el flujo de trabajo es claro y cuenta con el respaldo de la retroalimentación del cliente. Una duda menor orientada a la fase final sería afinar los detalles de despliegue masivo o simulación en un entorno de producción real para el cliente. </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color w:val="767171"/>
                <w:sz w:val="24"/>
                <w:szCs w:val="24"/>
                <w:rtl w:val="0"/>
              </w:rPr>
              <w:t xml:space="preserve">Hasta ahora la carga está bien equilibrada entre el desarrollo Full-Stack, el modelo de Machine Learning/OCR y la arquitectura DevOps. No es necesario redistribuir las tareas principales, aunque incorporamos recientemente la funcionalidad de descarga e impresión de facturas restauradas que ya está integrada en el flujo de diseño y desarrollo. </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767171"/>
                <w:sz w:val="24"/>
                <w:szCs w:val="24"/>
              </w:rPr>
            </w:pPr>
            <w:bookmarkStart w:colFirst="0" w:colLast="0" w:name="_heading=h.3cd3qfxycc5u"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color w:val="767171"/>
                <w:sz w:val="24"/>
                <w:szCs w:val="24"/>
                <w:rtl w:val="0"/>
              </w:rPr>
              <w:t xml:space="preserve">El trabajo en equipo ha sido muy colaborativo. Destacó la responsabilidad de cada integrante en su área (Diego en Full-Stack y Excel, Cristóbal en IA y OCR, y mi rol en DevOps y Base de Datos), lo que ha permitido mantener la equidad en los aportes y un control de versiones ordenado mediante Git Flow. Precisamente, mejorar la coordinación continua entre nosotros fue clave para superar los desacoples iniciales en el avance. </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WTLqRE2iuCZokqXrXvPJtaEyqw==">CgMxLjAyDmguM2NkM3FmeHljYzV1OAByITExUnliQmJCTU83WnU5UUx5SThqTXBzY3JraF8xQ3lnUA==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