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Smart Expense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(DAS) Documento de Arquitectura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Versión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SmartExpense</w:t>
            </w:r>
            <w:r w:rsidDel="00000000" w:rsidR="00000000" w:rsidRPr="00000000">
              <w:rPr>
                <w:rtl w:val="0"/>
              </w:rPr>
              <w:t xml:space="preserve"> AI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Documento de Arquitectura de Software (DAS)</w:t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Equipo de desarrollo </w:t>
            </w:r>
            <w:r w:rsidDel="00000000" w:rsidR="00000000" w:rsidRPr="00000000">
              <w:rPr>
                <w:rtl w:val="0"/>
              </w:rPr>
              <w:t xml:space="preserve">SmartExpense</w:t>
            </w:r>
            <w:r w:rsidDel="00000000" w:rsidR="00000000" w:rsidRPr="00000000">
              <w:rPr>
                <w:rtl w:val="0"/>
              </w:rPr>
              <w:t xml:space="preserve"> AI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12/09/2026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15/09/2026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Diego melo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12/09/2026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10/09/2026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Creación del documento de arquitectura para </w:t>
            </w:r>
            <w:r w:rsidDel="00000000" w:rsidR="00000000" w:rsidRPr="00000000">
              <w:rPr>
                <w:rtl w:val="0"/>
              </w:rPr>
              <w:t xml:space="preserve">SmartExpense</w:t>
            </w:r>
            <w:r w:rsidDel="00000000" w:rsidR="00000000" w:rsidRPr="00000000">
              <w:rPr>
                <w:rtl w:val="0"/>
              </w:rPr>
              <w:t xml:space="preserve"> AI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Diego melo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3912777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i10f90ejcwy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i10f90ejcwy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_heading=h.i10f90ejcwyp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km65rnoi0g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8km65rnoi0g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_heading=h.8km65rnoi0gr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iypl92qkt9r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iypl92qkt9r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_heading=h.iypl92qkt9r4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w50128l7k2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xw50128l7k2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_heading=h.xw50128l7k2q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3ospsd7ul4b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3ospsd7ul4b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_heading=h.3ospsd7ul4bv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0blzllzr1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g0blzllzr1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_heading=h.g0blzllzr1d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e7887p53ft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de7887p53ft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_heading=h.de7887p53ftu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7pr7kphida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17pr7kphida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_heading=h.17pr7kphida5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df6hvle3m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df6hvle3m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_heading=h.df6hvle3m4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xy388gmc5l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continuación se revisan las metas y restricciones de la arquitectura.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64v1ao24lrp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64v1ao24lrp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_heading=h.64v1ao24lrpf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23axcq2wjyi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23axcq2wjyi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_heading=h.23axcq2wjyil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wpv3ehnp7n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jwpv3ehnp7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_heading=h.jwpv3ehnp7ng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49dsc7r3711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49dsc7r3711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_heading=h.49dsc7r3711c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Casos de Uso y Escenarios de Calidad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fbp4ehq86u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wfbp4ehq86u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_heading=h.wfbp4ehq86u1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7khh4bqvgfx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7khh4bqvgfx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_heading=h.7khh4bqvgfxq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Casos de Uso Relevantes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udt6z7x1ldj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udt6z7x1ldj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_heading=h.udt6z7x1ldjs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gjupgkesx3o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Lógica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h4sqgmqjk3u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de Procesos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ja88c9ex0a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de Despliegue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1vpuitrj0rv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</w:t>
            </w:r>
          </w:hyperlink>
          <w:hyperlink w:anchor="_heading=h.1vpuitrj0rv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rtl w:val="0"/>
              </w:rPr>
              <w:t xml:space="preserve">Física</w:t>
            </w:r>
          </w:hyperlink>
          <w:hyperlink w:anchor="_heading=h.1vpuitrj0rv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em3di8ik3h1f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Vista Escenarios 4+1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vjti7fvg4l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avjti7fvg4l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_heading=h.avjti7fvg4lr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9poh0lvbuq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9poh0lvbuq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_heading=h.9poh0lvbuqd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9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60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proceso de rendición de gastos e ingreso de facturas/comprobantes suele ser manual, propenso a errores de digitación y susceptible a demoras por documentos físicamente deteriorados o ilegibles. Smart Expense AI aborda esta problemática mediante una solución integral de digitalización automatizada que combina visibilidad contable, procesamiento OCR y modelos de Inteligencia Artificial/Machine Learning para la reconstrucción de imágenes y extracción automatizada de datos clave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60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define la arquitectura lógica, de procesos, de componentes y de despliegue del sistema Smart Expense AI, sirviendo como guía técnica para desarrolladores, administradores de infraestructura y personal de aseguramiento de calidad (QA).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7D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ACRÓNIMO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7E">
            <w:pPr>
              <w:widowControl w:val="1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DAS / SAD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Documento de Arquitectura de Software 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Reconocimiento Óptico de Caracteres.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Machine Learning / Aprendizaje Automático.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JSON Web Token (mecanismo de autenticación e identidad).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Representational State Transfer (estilo de arquitectura de APIs sobre HTTP).</w:t>
            </w:r>
          </w:p>
        </w:tc>
      </w:tr>
    </w:tbl>
    <w:p w:rsidR="00000000" w:rsidDel="00000000" w:rsidP="00000000" w:rsidRDefault="00000000" w:rsidRPr="00000000" w14:paraId="00000089">
      <w:pPr>
        <w:keepLines w:val="1"/>
        <w:numPr>
          <w:ilvl w:val="1"/>
          <w:numId w:val="1"/>
        </w:numPr>
        <w:spacing w:after="120" w:lineRule="auto"/>
        <w:ind w:left="860" w:hanging="576"/>
        <w:rPr>
          <w:b w:val="1"/>
          <w:bCs w:val="1"/>
          <w:color w:val="000080"/>
          <w:sz w:val="28"/>
          <w:szCs w:val="28"/>
        </w:rPr>
      </w:pPr>
      <w:r w:rsidDel="00000000" w:rsidR="00000000" w:rsidRPr="00000000">
        <w:rPr>
          <w:b w:val="1"/>
          <w:bCs w:val="1"/>
          <w:color w:val="000080"/>
          <w:sz w:val="24"/>
          <w:szCs w:val="24"/>
          <w:rtl w:val="0"/>
        </w:rPr>
        <w:t xml:space="preserve">Ámbito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Comprende los módulos de autenticación de usuarios (JWT), recepción de archivos de imágenes PDFs, pipeline de reconstrucción de imágenes </w:t>
      </w:r>
      <w:r w:rsidDel="00000000" w:rsidR="00000000" w:rsidRPr="00000000">
        <w:rPr>
          <w:rtl w:val="0"/>
        </w:rPr>
        <w:t xml:space="preserve">con 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, motor OCR de extracción (RUT, Fecha, Monto), base de datos de persistencia y exportación de reportes a Excel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p w:rsidR="00000000" w:rsidDel="00000000" w:rsidP="00000000" w:rsidRDefault="00000000" w:rsidRPr="00000000" w14:paraId="0000008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principales acrónimos utilizados son DAS/SAD, OCR, ML, JWT, REST y RUT, detallados en la tabla de acrónimos del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Referencias</w:t>
      </w:r>
    </w:p>
    <w:p w:rsidR="00000000" w:rsidDel="00000000" w:rsidP="00000000" w:rsidRDefault="00000000" w:rsidRPr="00000000" w14:paraId="0000008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las referencias a otros documentos:</w:t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60" w:right="0" w:hanging="5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Casos de Uso del Sistema.</w:t>
        <w:br w:type="textWrapping"/>
        <w:t xml:space="preserve"> Planilla de Casos de Prueba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Documentación de Especificación de Requerimientos del Sistema Smart Expense AI.</w:t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60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Smart Expense AI es una aplicación contenerizada On-Premise modularizada bajo Docker. Despliega un frontend liviano, un backend basado en FastAPI, un microservicio de IA/ML para procesamiento y análisis visual, y persistencia en PostgreSQL con volúmenes locales.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Representación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La arquitectura del sistema Smart Expense AI está representada siguiendo el enfoque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Vista de Casos de Uso y Escenarios de Calidad: Describe los casos de uso más significativos, presenta los actores y una descripción de sus casos de uso asociados. De igual forma describe los escenarios de calidad más relevantes para la arquitectura.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Vista de Metas y Restricciones: Describe restricciones tecnológicas, normativas, estándares, etc., los cuales influyen sobre las decisiones arquitectónicas, del producto y del proceso de desarrollo.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Vista Lógica: Describe la organización funcional de Smart Expense AI mediante frontend, backend FastAPI, microservicio IA/ML, OCR y PostgreSQL.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Vista de Procesos: Describe el flujo de recepción del documento, reconstrucción de imagen, extracción OCR, persistencia y exportación.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Vista de Despliegue: Describe la ejecución de los componentes en contenedores Docker dentro de un entorno On-Premise.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Vista Física: Describe la infraestructura local utilizada para ejecutar los contenedores, almacenamiento y base de datos PostgreSQL.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Las vistas se documentan a nivel textual en esta versión. Los diagramas gráficos no fueron incluidos en la información proporcionada.</w:t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A continuación, se revisan las metas y restricciones de la arquitectura.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60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 acuerdo con las reuniones y al análisis de los requerimientos, se listan los principales conductores iniciales de la arquitectura, los cuales corresponden a las metas arquitectónicas iniciales: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Desempeño: Tiempos de respuesta menores a 3 segundos en peticiones API REST y procesamiento OCR/ML sub-minuto por documento.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Tolerancia a fallos: Aislamiento de errores a nivel de contenedor si el motor ML falla, la API permanece activa.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Seguridad: Autenticación obligatoria cifrada con JWT y aislamiento de red en Docker.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Modificabilidad: Desacoplamiento estricto mediante controladores Fast API y servicios independientes.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Operatividad: Despliegue automatizado con docker-compose up en entorno On-Premise.</w:t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60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Existen restricciones que han sido levantadas con los stakeholders, las cuales se presentan a continuación:</w:t>
      </w:r>
    </w:p>
    <w:p w:rsidR="00000000" w:rsidDel="00000000" w:rsidP="00000000" w:rsidRDefault="00000000" w:rsidRPr="00000000" w14:paraId="000000AC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Tiempo de construcción: Implementación rápida orientada a entregas por ciclos.</w:t>
      </w:r>
    </w:p>
    <w:p w:rsidR="00000000" w:rsidDel="00000000" w:rsidP="00000000" w:rsidRDefault="00000000" w:rsidRPr="00000000" w14:paraId="000000AE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Infraestructura: Despliegue restringido a entorno On-Premise con infraestructura local usando contenedores Docker.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Otros componentes de software: No contempla adquisición de licencias de software propietario adicional. El stack indicado es 100% Open Source: React para-JavaScript Frontend, Python, Fast API, PostgreSQL y Docker.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60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La empresa desarrolladora cuenta con un framework que considera componentes que permiten satisfacer los requerimientos arquitectónicos.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Framework de inyección de dependencias: soporta la encapsulación y modularización de componentes para facilitar la mantenibilidad del sistema. Asimismo, privilegia el performance en tiempo de ejecución dado que es un framework liviano.</w:t>
      </w:r>
    </w:p>
    <w:p w:rsidR="00000000" w:rsidDel="00000000" w:rsidP="00000000" w:rsidRDefault="00000000" w:rsidRPr="00000000" w14:paraId="000000B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Framework de seguridad: soporta la meta de seguridad mediante los mecanismos de autenticación definidos para la solución, incluyendo JWT.</w:t>
      </w:r>
    </w:p>
    <w:p w:rsidR="00000000" w:rsidDel="00000000" w:rsidP="00000000" w:rsidRDefault="00000000" w:rsidRPr="00000000" w14:paraId="000000B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Casos de Uso y Escenarios de Calidad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Esta sección describe los escenarios funcionales y no funcionales de mayor relevancia para la arquitectura de Smart Expense AI, considerando autenticación, recepción de documentos, procesamiento ML,OCR, persistencia y exportación.</w:t>
      </w:r>
    </w:p>
    <w:p w:rsidR="00000000" w:rsidDel="00000000" w:rsidP="00000000" w:rsidRDefault="00000000" w:rsidRPr="00000000" w14:paraId="000000B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60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B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modelo de casos de uso se representa mediante los casos funcionales identificados en este documento: autenticar usuario, recepcionar imágenes PDFs, procesar documentos mediante ML/OCR, persistir datos extraídos y exportar reportes a Excel.</w:t>
      </w:r>
    </w:p>
    <w:p w:rsidR="00000000" w:rsidDel="00000000" w:rsidP="00000000" w:rsidRDefault="00000000" w:rsidRPr="00000000" w14:paraId="000000C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60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Casos de Uso Relevantes</w:t>
      </w:r>
    </w:p>
    <w:p w:rsidR="00000000" w:rsidDel="00000000" w:rsidP="00000000" w:rsidRDefault="00000000" w:rsidRPr="00000000" w14:paraId="000000C2">
      <w:pPr>
        <w:jc w:val="both"/>
        <w:rPr/>
      </w:pPr>
      <w:r w:rsidDel="00000000" w:rsidR="00000000" w:rsidRPr="00000000">
        <w:rPr>
          <w:rtl w:val="0"/>
        </w:rPr>
        <w:t xml:space="preserve">Los casos de uso considerados relevantes para el desarrollo de la arquitectura son aquellos que involucran los componentes principales del sistema y los procesos de seguridad, procesamiento de documentos, extracción de datos y persistencia.</w:t>
      </w:r>
    </w:p>
    <w:p w:rsidR="00000000" w:rsidDel="00000000" w:rsidP="00000000" w:rsidRDefault="00000000" w:rsidRPr="00000000" w14:paraId="000000C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/>
      </w:pPr>
      <w:r w:rsidDel="00000000" w:rsidR="00000000" w:rsidRPr="00000000">
        <w:rPr>
          <w:rtl w:val="0"/>
        </w:rPr>
        <w:t xml:space="preserve">Su implementación implica interacción entre frontend, backend FastAPI, microservicio IA/ML y persistencia.</w:t>
      </w:r>
    </w:p>
    <w:p w:rsidR="00000000" w:rsidDel="00000000" w:rsidP="00000000" w:rsidRDefault="00000000" w:rsidRPr="00000000" w14:paraId="000000C5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  <w:t xml:space="preserve"> Su implementación involucra procesamiento de documentos y componentes de IA/OCR.</w:t>
      </w:r>
    </w:p>
    <w:p w:rsidR="00000000" w:rsidDel="00000000" w:rsidP="00000000" w:rsidRDefault="00000000" w:rsidRPr="00000000" w14:paraId="000000C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/>
      </w:pPr>
      <w:r w:rsidDel="00000000" w:rsidR="00000000" w:rsidRPr="00000000">
        <w:rPr>
          <w:rtl w:val="0"/>
        </w:rPr>
        <w:t xml:space="preserve"> Incluye conceptos centrales del dominio, como comprobantes, RUT, fecha y monto.</w:t>
      </w:r>
    </w:p>
    <w:p w:rsidR="00000000" w:rsidDel="00000000" w:rsidP="00000000" w:rsidRDefault="00000000" w:rsidRPr="00000000" w14:paraId="000000C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  <w:t xml:space="preserve"> Incluye escenarios críticos relacionados con desempeño, seguridad y tolerancia a fallos.</w:t>
      </w:r>
    </w:p>
    <w:p w:rsidR="00000000" w:rsidDel="00000000" w:rsidP="00000000" w:rsidRDefault="00000000" w:rsidRPr="00000000" w14:paraId="000000C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 casos de uso relevantes y sus prioridades se presentan en la tabla correspondiente.</w:t>
      </w:r>
    </w:p>
    <w:p w:rsidR="00000000" w:rsidDel="00000000" w:rsidP="00000000" w:rsidRDefault="00000000" w:rsidRPr="00000000" w14:paraId="000000C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0" w:tblpY="0"/>
        <w:tblW w:w="8717.0" w:type="dxa"/>
        <w:jc w:val="left"/>
        <w:tblLayout w:type="fixed"/>
        <w:tblLook w:val="0000"/>
      </w:tblPr>
      <w:tblGrid>
        <w:gridCol w:w="1262"/>
        <w:gridCol w:w="4762"/>
        <w:gridCol w:w="1701"/>
        <w:gridCol w:w="992"/>
        <w:tblGridChange w:id="0">
          <w:tblGrid>
            <w:gridCol w:w="1262"/>
            <w:gridCol w:w="4762"/>
            <w:gridCol w:w="1701"/>
            <w:gridCol w:w="99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CE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CF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D0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D1">
            <w:pPr>
              <w:widowControl w:val="1"/>
              <w:spacing w:line="240" w:lineRule="auto"/>
              <w:jc w:val="center"/>
              <w:rPr>
                <w:b w:val="1"/>
                <w:bCs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CU-001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Autenticar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CU-002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Recepcionar imágenes/PDFs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CU-003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Procesar documento mediante ML/OCR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Usuario / Sistema ML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Muy 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CU-004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Persistir datos extraídos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CU-005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Exportar reporte a Excel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1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860" w:right="0" w:hanging="576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39">
      <w:pPr>
        <w:jc w:val="both"/>
        <w:rPr/>
      </w:pPr>
      <w:r w:rsidDel="00000000" w:rsidR="00000000" w:rsidRPr="00000000">
        <w:rPr>
          <w:rtl w:val="0"/>
        </w:rPr>
        <w:t xml:space="preserve">Los escenarios de calidad relevantes se derivan de las metas arquitectónicas proporcionadas para Smart Expense AI.</w:t>
      </w:r>
    </w:p>
    <w:p w:rsidR="00000000" w:rsidDel="00000000" w:rsidP="00000000" w:rsidRDefault="00000000" w:rsidRPr="00000000" w14:paraId="0000013A">
      <w:pPr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ID: QS1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/>
      </w:pPr>
      <w:r w:rsidDel="00000000" w:rsidR="00000000" w:rsidRPr="00000000">
        <w:rPr>
          <w:rtl w:val="0"/>
        </w:rPr>
        <w:t xml:space="preserve">Nombre: Desempeño: tiempo de respuesta de la API y procesamiento documental.</w:t>
      </w:r>
    </w:p>
    <w:p w:rsidR="00000000" w:rsidDel="00000000" w:rsidP="00000000" w:rsidRDefault="00000000" w:rsidRPr="00000000" w14:paraId="0000013D">
      <w:pPr>
        <w:jc w:val="both"/>
        <w:rPr/>
      </w:pPr>
      <w:r w:rsidDel="00000000" w:rsidR="00000000" w:rsidRPr="00000000">
        <w:rPr>
          <w:rtl w:val="0"/>
        </w:rPr>
        <w:t xml:space="preserve">Sinopsis: Las peticiones API REST deben responder en menos de 3 segundos y el procesamiento OCR/ML debe completarse en menos de un minuto por documento.</w:t>
      </w:r>
    </w:p>
    <w:p w:rsidR="00000000" w:rsidDel="00000000" w:rsidP="00000000" w:rsidRDefault="00000000" w:rsidRPr="00000000" w14:paraId="0000013E">
      <w:pPr>
        <w:jc w:val="both"/>
        <w:rPr/>
      </w:pPr>
      <w:r w:rsidDel="00000000" w:rsidR="00000000" w:rsidRPr="00000000">
        <w:rPr>
          <w:rtl w:val="0"/>
        </w:rPr>
        <w:t xml:space="preserve">Entorno: Operación normal del sistema.</w:t>
      </w:r>
    </w:p>
    <w:p w:rsidR="00000000" w:rsidDel="00000000" w:rsidP="00000000" w:rsidRDefault="00000000" w:rsidRPr="00000000" w14:paraId="0000013F">
      <w:pPr>
        <w:jc w:val="both"/>
        <w:rPr/>
      </w:pPr>
      <w:r w:rsidDel="00000000" w:rsidR="00000000" w:rsidRPr="00000000">
        <w:rPr>
          <w:rtl w:val="0"/>
        </w:rPr>
        <w:t xml:space="preserve">Cambio en el entorno: Un usuario envía una petición o un documento para procesamiento.</w:t>
      </w:r>
    </w:p>
    <w:p w:rsidR="00000000" w:rsidDel="00000000" w:rsidP="00000000" w:rsidRDefault="00000000" w:rsidRPr="00000000" w14:paraId="00000140">
      <w:pPr>
        <w:jc w:val="both"/>
        <w:rPr/>
      </w:pPr>
      <w:r w:rsidDel="00000000" w:rsidR="00000000" w:rsidRPr="00000000">
        <w:rPr>
          <w:rtl w:val="0"/>
        </w:rPr>
        <w:t xml:space="preserve">Comportamiento esperado: La API responde oportunamente y el pipeline procesa el documento mediante reconstrucción ML y extracción OCR.</w:t>
      </w:r>
    </w:p>
    <w:p w:rsidR="00000000" w:rsidDel="00000000" w:rsidP="00000000" w:rsidRDefault="00000000" w:rsidRPr="00000000" w14:paraId="00000141">
      <w:pPr>
        <w:jc w:val="both"/>
        <w:rPr/>
      </w:pPr>
      <w:r w:rsidDel="00000000" w:rsidR="00000000" w:rsidRPr="00000000">
        <w:rPr>
          <w:rtl w:val="0"/>
        </w:rPr>
        <w:t xml:space="preserve">Medida: API REST menor a 3 segundos; procesamiento OCR/ML sub-minuto por documento.</w:t>
      </w:r>
    </w:p>
    <w:p w:rsidR="00000000" w:rsidDel="00000000" w:rsidP="00000000" w:rsidRDefault="00000000" w:rsidRPr="00000000" w14:paraId="00000142">
      <w:pPr>
        <w:jc w:val="both"/>
        <w:rPr/>
      </w:pPr>
      <w:r w:rsidDel="00000000" w:rsidR="00000000" w:rsidRPr="00000000">
        <w:rPr>
          <w:rtl w:val="0"/>
        </w:rPr>
        <w:t xml:space="preserve">Prioridad Arquitectónica: Alta</w:t>
      </w:r>
    </w:p>
    <w:p w:rsidR="00000000" w:rsidDel="00000000" w:rsidP="00000000" w:rsidRDefault="00000000" w:rsidRPr="00000000" w14:paraId="00000143">
      <w:pPr>
        <w:jc w:val="both"/>
        <w:rPr/>
      </w:pPr>
      <w:r w:rsidDel="00000000" w:rsidR="00000000" w:rsidRPr="00000000">
        <w:rPr>
          <w:rtl w:val="0"/>
        </w:rPr>
        <w:t xml:space="preserve">Aplicación: Global</w:t>
      </w:r>
    </w:p>
    <w:p w:rsidR="00000000" w:rsidDel="00000000" w:rsidP="00000000" w:rsidRDefault="00000000" w:rsidRPr="00000000" w14:paraId="0000014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ID: QS2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/>
      </w:pPr>
      <w:r w:rsidDel="00000000" w:rsidR="00000000" w:rsidRPr="00000000">
        <w:rPr>
          <w:rtl w:val="0"/>
        </w:rPr>
        <w:t xml:space="preserve">Nombre: Tolerancia a fallos: aislamiento del fallo del motor ML.</w:t>
      </w:r>
    </w:p>
    <w:p w:rsidR="00000000" w:rsidDel="00000000" w:rsidP="00000000" w:rsidRDefault="00000000" w:rsidRPr="00000000" w14:paraId="00000147">
      <w:pPr>
        <w:jc w:val="both"/>
        <w:rPr/>
      </w:pPr>
      <w:r w:rsidDel="00000000" w:rsidR="00000000" w:rsidRPr="00000000">
        <w:rPr>
          <w:rtl w:val="0"/>
        </w:rPr>
        <w:t xml:space="preserve">Sinopsis: Un fallo del microservicio de IA/ML no debe provocar la caída de la API principal.</w:t>
      </w:r>
    </w:p>
    <w:p w:rsidR="00000000" w:rsidDel="00000000" w:rsidP="00000000" w:rsidRDefault="00000000" w:rsidRPr="00000000" w14:paraId="00000148">
      <w:pPr>
        <w:jc w:val="both"/>
        <w:rPr/>
      </w:pPr>
      <w:r w:rsidDel="00000000" w:rsidR="00000000" w:rsidRPr="00000000">
        <w:rPr>
          <w:rtl w:val="0"/>
        </w:rPr>
        <w:t xml:space="preserve">Entorno: El sistema se encuentra trabajando con carga normal.</w:t>
      </w:r>
    </w:p>
    <w:p w:rsidR="00000000" w:rsidDel="00000000" w:rsidP="00000000" w:rsidRDefault="00000000" w:rsidRPr="00000000" w14:paraId="00000149">
      <w:pPr>
        <w:jc w:val="both"/>
        <w:rPr/>
      </w:pPr>
      <w:r w:rsidDel="00000000" w:rsidR="00000000" w:rsidRPr="00000000">
        <w:rPr>
          <w:rtl w:val="0"/>
        </w:rPr>
        <w:t xml:space="preserve">Cambio en el entorno: El contenedor del motor ML presenta un fallo.</w:t>
      </w:r>
    </w:p>
    <w:p w:rsidR="00000000" w:rsidDel="00000000" w:rsidP="00000000" w:rsidRDefault="00000000" w:rsidRPr="00000000" w14:paraId="0000014A">
      <w:pPr>
        <w:jc w:val="both"/>
        <w:rPr/>
      </w:pPr>
      <w:r w:rsidDel="00000000" w:rsidR="00000000" w:rsidRPr="00000000">
        <w:rPr>
          <w:rtl w:val="0"/>
        </w:rPr>
        <w:t xml:space="preserve">Comportamiento esperado: La API permanece activa y el fallo queda aislado al componente afectado.</w:t>
      </w:r>
    </w:p>
    <w:p w:rsidR="00000000" w:rsidDel="00000000" w:rsidP="00000000" w:rsidRDefault="00000000" w:rsidRPr="00000000" w14:paraId="0000014B">
      <w:pPr>
        <w:jc w:val="both"/>
        <w:rPr/>
      </w:pPr>
      <w:r w:rsidDel="00000000" w:rsidR="00000000" w:rsidRPr="00000000">
        <w:rPr>
          <w:rtl w:val="0"/>
        </w:rPr>
        <w:t xml:space="preserve">Medida: El servicio API debe permanecer operativo ante el fallo del motor ML.</w:t>
      </w:r>
    </w:p>
    <w:p w:rsidR="00000000" w:rsidDel="00000000" w:rsidP="00000000" w:rsidRDefault="00000000" w:rsidRPr="00000000" w14:paraId="0000014C">
      <w:pPr>
        <w:jc w:val="both"/>
        <w:rPr/>
      </w:pPr>
      <w:r w:rsidDel="00000000" w:rsidR="00000000" w:rsidRPr="00000000">
        <w:rPr>
          <w:rtl w:val="0"/>
        </w:rPr>
        <w:t xml:space="preserve">Prioridad Arquitectónica: Alta</w:t>
      </w:r>
    </w:p>
    <w:p w:rsidR="00000000" w:rsidDel="00000000" w:rsidP="00000000" w:rsidRDefault="00000000" w:rsidRPr="00000000" w14:paraId="0000014D">
      <w:pPr>
        <w:ind w:left="720" w:hanging="720"/>
        <w:jc w:val="both"/>
        <w:rPr/>
      </w:pPr>
      <w:r w:rsidDel="00000000" w:rsidR="00000000" w:rsidRPr="00000000">
        <w:rPr>
          <w:rtl w:val="0"/>
        </w:rPr>
        <w:t xml:space="preserve">Aplicación: Global</w:t>
      </w:r>
    </w:p>
    <w:p w:rsidR="00000000" w:rsidDel="00000000" w:rsidP="00000000" w:rsidRDefault="00000000" w:rsidRPr="00000000" w14:paraId="0000014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15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49403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15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840105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840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Despliegue</w:t>
      </w:r>
    </w:p>
    <w:p w:rsidR="00000000" w:rsidDel="00000000" w:rsidP="00000000" w:rsidRDefault="00000000" w:rsidRPr="00000000" w14:paraId="000001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40400" cy="44577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</w:t>
      </w:r>
      <w:r w:rsidDel="00000000" w:rsidR="00000000" w:rsidRPr="00000000">
        <w:rPr>
          <w:b w:val="1"/>
          <w:bCs w:val="1"/>
          <w:color w:val="000080"/>
          <w:sz w:val="28"/>
          <w:szCs w:val="28"/>
          <w:rtl w:val="0"/>
        </w:rPr>
        <w:t xml:space="preserve">Física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9878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Escenarios 4+1</w:t>
      </w:r>
    </w:p>
    <w:p w:rsidR="00000000" w:rsidDel="00000000" w:rsidP="00000000" w:rsidRDefault="00000000" w:rsidRPr="00000000" w14:paraId="0000016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1"/>
        <w:numPr>
          <w:ilvl w:val="0"/>
          <w:numId w:val="1"/>
        </w:numPr>
        <w:spacing w:after="240" w:before="120" w:lineRule="auto"/>
        <w:ind w:left="432"/>
        <w:jc w:val="both"/>
        <w:rPr>
          <w:b w:val="1"/>
          <w:bCs w:val="1"/>
          <w:color w:val="000080"/>
          <w:sz w:val="28"/>
          <w:szCs w:val="28"/>
        </w:rPr>
      </w:pPr>
      <w:bookmarkStart w:colFirst="0" w:colLast="0" w:name="_heading=h.yrbm0yj312sp" w:id="0"/>
      <w:bookmarkEnd w:id="0"/>
      <w:r w:rsidDel="00000000" w:rsidR="00000000" w:rsidRPr="00000000">
        <w:rPr/>
        <w:drawing>
          <wp:inline distB="114300" distT="114300" distL="114300" distR="114300">
            <wp:extent cx="5648325" cy="554355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54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16D">
      <w:pPr>
        <w:jc w:val="both"/>
        <w:rPr/>
      </w:pPr>
      <w:r w:rsidDel="00000000" w:rsidR="00000000" w:rsidRPr="00000000">
        <w:rPr>
          <w:rtl w:val="0"/>
        </w:rPr>
        <w:t xml:space="preserve">La arquitectura de Smart Expense AI adopta una solución modular y contenerizada bajo Docker, priorizando una implementación rápida, mantenible y de bajo acoplamiento. La elección de FastAPI para el backend permite estructurar APIs REST livianas, mientras que la separación del microservicio IA/ML permite aislar el procesamiento intensivo y reducir el impacto de sus fallos sobre la API.</w:t>
      </w:r>
    </w:p>
    <w:p w:rsidR="00000000" w:rsidDel="00000000" w:rsidP="00000000" w:rsidRDefault="00000000" w:rsidRPr="00000000" w14:paraId="000001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/>
      </w:pPr>
      <w:r w:rsidDel="00000000" w:rsidR="00000000" w:rsidRPr="00000000">
        <w:rPr>
          <w:rtl w:val="0"/>
        </w:rPr>
        <w:t xml:space="preserve">La modularización separa responsabilidades entre frontend, backend, procesamiento IA/ML, OCR y persistencia. Esta decisión facilita el desarrollo independiente, las pruebas unitarias y la mantenibilidad de cada componente.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/>
      </w:pPr>
      <w:r w:rsidDel="00000000" w:rsidR="00000000" w:rsidRPr="00000000">
        <w:rPr>
          <w:rtl w:val="0"/>
        </w:rPr>
        <w:t xml:space="preserve">La restricción de infraestructura On-Premise conduce a utilizar Docker y volúmenes locales, evitando dependencias de infraestructura cloud. PostgreSQL se utiliza como componente de persistencia y los servicios se comunican de forma desactualizada.</w:t>
      </w:r>
    </w:p>
    <w:p w:rsidR="00000000" w:rsidDel="00000000" w:rsidP="00000000" w:rsidRDefault="00000000" w:rsidRPr="00000000" w14:paraId="000001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/>
      </w:pPr>
      <w:r w:rsidDel="00000000" w:rsidR="00000000" w:rsidRPr="00000000">
        <w:rPr>
          <w:rtl w:val="0"/>
        </w:rPr>
        <w:t xml:space="preserve">La seguridad se resuelve mediante autenticación JWT y aislamiento de red en Docker. El procesamiento de documentos se organiza como pipeline para permitir que la reconstrucción de imágenes mediante ML y la extracción OCR se ejecuten como responsabilidades separadas.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/>
      </w:pPr>
      <w:r w:rsidDel="00000000" w:rsidR="00000000" w:rsidRPr="00000000">
        <w:rPr>
          <w:rtl w:val="0"/>
        </w:rPr>
        <w:t xml:space="preserve">La estrategia de despliegue se basa en docker-compose up para facilitar la operación y repetibilidad del entorno On-Premise. El uso de componentes Open Source reduce restricciones de licenciamiento y favorece la reutilización.</w:t>
      </w:r>
    </w:p>
    <w:p w:rsidR="00000000" w:rsidDel="00000000" w:rsidP="00000000" w:rsidRDefault="00000000" w:rsidRPr="00000000" w14:paraId="00000176">
      <w:pPr>
        <w:keepNext w:val="1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177">
      <w:pPr>
        <w:jc w:val="both"/>
        <w:rPr/>
      </w:pPr>
      <w:r w:rsidDel="00000000" w:rsidR="00000000" w:rsidRPr="00000000">
        <w:rPr>
          <w:rtl w:val="0"/>
        </w:rPr>
        <w:t xml:space="preserve">Se reutilizan componentes y tecnologías de propósito general del stock definido para Smart Expense AI, especialmente React para frontend, Python y Fast API para servicios backend, PostgreSQL para persistencia y Docker para contenerización. La arquitectura favorece la reutilización mediante desacoplamiento de servicios y separación de responsabilidades. Los componentes específicos de reconstrucción de imágenes ML y extracción OCR corresponden a capacidades propias del sistema y su implementación detallada no fue especificada en la información proporcionada.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color w:val="5f5f5f"/>
        <w:sz w:val="16"/>
        <w:szCs w:val="1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C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1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7D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E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F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iCs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0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860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576" w:hanging="576"/>
    </w:pPr>
    <w:rPr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semiHidden w:val="1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563B45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0wOkNMTypDWdbikKS9x2xIxD7Q==">CgMxLjAyDmgueXJibTB5ajMxMnNwOAByITFGSXJZMFo2UThXXzNJdTdjLXlLTFhHdEkyNWlfQi1Waw==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2018-07-19T21:11:00Z</dcterms:created>
  <dc:creator>israel alberto naranjo retamal</dc:creator>
</cp:coreProperties>
</file>