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186C9" w14:textId="77777777" w:rsidR="00A8183B" w:rsidRPr="001E4967" w:rsidRDefault="00000000" w:rsidP="001E4967">
      <w:pPr>
        <w:pStyle w:val="1"/>
        <w:jc w:val="center"/>
        <w:rPr>
          <w:rFonts w:ascii="宋体" w:eastAsia="宋体" w:hAnsi="宋体"/>
          <w:sz w:val="21"/>
          <w:szCs w:val="21"/>
        </w:rPr>
      </w:pPr>
      <w:r w:rsidRPr="001E4967">
        <w:rPr>
          <w:rFonts w:ascii="宋体" w:eastAsia="宋体" w:hAnsi="宋体"/>
          <w:sz w:val="21"/>
          <w:szCs w:val="21"/>
        </w:rPr>
        <w:t>人工生成与AIGC生成广告视频的内容差异及其生成逻辑解释研究</w:t>
      </w:r>
    </w:p>
    <w:p w14:paraId="7D6C995E" w14:textId="77777777" w:rsidR="00A8183B" w:rsidRPr="001E4967" w:rsidRDefault="00000000">
      <w:pPr>
        <w:pStyle w:val="1"/>
        <w:rPr>
          <w:rFonts w:ascii="宋体" w:eastAsia="宋体" w:hAnsi="宋体"/>
          <w:sz w:val="21"/>
          <w:szCs w:val="21"/>
        </w:rPr>
      </w:pPr>
      <w:bookmarkStart w:id="0" w:name="mq639ek7jpp4nf977ke"/>
      <w:r w:rsidRPr="001E4967">
        <w:rPr>
          <w:rFonts w:ascii="宋体" w:eastAsia="宋体" w:hAnsi="宋体"/>
          <w:sz w:val="21"/>
          <w:szCs w:val="21"/>
        </w:rPr>
        <w:t>一、课题的来源及选择本课题的指导思想</w:t>
      </w:r>
      <w:bookmarkEnd w:id="0"/>
    </w:p>
    <w:p w14:paraId="4A44AEDF" w14:textId="77777777" w:rsidR="00A8183B" w:rsidRPr="001E4967" w:rsidRDefault="00000000">
      <w:pPr>
        <w:pStyle w:val="2"/>
        <w:rPr>
          <w:rFonts w:ascii="宋体" w:eastAsia="宋体" w:hAnsi="宋体"/>
          <w:sz w:val="21"/>
          <w:szCs w:val="21"/>
        </w:rPr>
      </w:pPr>
      <w:bookmarkStart w:id="1" w:name="mq639ek79lr7wkdwp7j"/>
      <w:r w:rsidRPr="001E4967">
        <w:rPr>
          <w:rFonts w:ascii="宋体" w:eastAsia="宋体" w:hAnsi="宋体"/>
          <w:sz w:val="21"/>
          <w:szCs w:val="21"/>
        </w:rPr>
        <w:t>1.1 课题提出的现实背景</w:t>
      </w:r>
      <w:bookmarkEnd w:id="1"/>
    </w:p>
    <w:p w14:paraId="47F58770" w14:textId="77777777" w:rsidR="00A8183B" w:rsidRPr="00576DB9"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近</w:t>
      </w:r>
      <w:r w:rsidRPr="00576DB9">
        <w:rPr>
          <w:rFonts w:ascii="宋体" w:eastAsia="宋体" w:hAnsi="宋体"/>
          <w:sz w:val="21"/>
          <w:szCs w:val="21"/>
        </w:rPr>
        <w:t>两年，生成式人工智能技术在广告行业快速落地普及，应用场景从初期的文案撰写、图片制作，逐步延伸至脚本创作、分镜设计、虚拟角色生成、配音配乐、视频产出及智能剪辑等全流程环节。随着多模态大模型与视频生成工具不断迭代升级，AIGC已然成为重塑广告内容生产体系的关键因素。段淳林、魏方（2025）提出，计算广告正从“大数据驱动”迈入“知识生成驱动”新阶段；张可（2025）也指出，生成式AI彻底改变了传统广告的生产逻辑与传播模式。不难看出，AIGC对广告行业的影响，并非单一工具的简单替换，而是广告内容生产模式的整体性变革。</w:t>
      </w:r>
    </w:p>
    <w:p w14:paraId="3159B924"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与此同时，视频广告在品牌传播中的核心地位日益凸显。不论是品牌宣传片、社交短视频广告，还是平台信息流广告、场景化种草视频，都凭借视听结合、情绪感染力强、叙事完整、品牌信息融合度高等优势，成为</w:t>
      </w:r>
      <w:proofErr w:type="gramStart"/>
      <w:r w:rsidRPr="00576DB9">
        <w:rPr>
          <w:rFonts w:ascii="宋体" w:eastAsia="宋体" w:hAnsi="宋体"/>
          <w:sz w:val="21"/>
          <w:szCs w:val="21"/>
        </w:rPr>
        <w:t>品牌触达用户</w:t>
      </w:r>
      <w:proofErr w:type="gramEnd"/>
      <w:r w:rsidRPr="00576DB9">
        <w:rPr>
          <w:rFonts w:ascii="宋体" w:eastAsia="宋体" w:hAnsi="宋体"/>
          <w:sz w:val="21"/>
          <w:szCs w:val="21"/>
        </w:rPr>
        <w:t>、建立联结的核心载体。相较于平面广告与纯文本广告，视频广告能够全方位传递品牌理念、产品卖点、生活场景与情感氛围，也最直观地反映出广告内容生产机制的演变特征。</w:t>
      </w:r>
    </w:p>
    <w:p w14:paraId="5A2071AB"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在此行业环境下，广告视频的创作主体正在发生深刻转变。传统广告视频由策划、创意、文案、导演、摄像、剪辑等专业团队协同完成，内容创作高度依托从业者的行业经验、品牌理解与创意构思。而AIGC介入后，脚本、画面、配音、特效乃至完整成片均可由AI模型独立生成，人类创作者的工作重心转向提示词设计、素材筛选、内容修正与流程统筹。广告视频生产正式从人工主导，迈入人机协同的全新阶段。以上行业现状，成为本课题开展的现实依据，也赋予研究相应的实践价值。</w:t>
      </w:r>
    </w:p>
    <w:p w14:paraId="29B593ED" w14:textId="77777777" w:rsidR="00A8183B" w:rsidRPr="001E4967" w:rsidRDefault="00000000">
      <w:pPr>
        <w:pStyle w:val="2"/>
        <w:rPr>
          <w:rFonts w:ascii="宋体" w:eastAsia="宋体" w:hAnsi="宋体"/>
          <w:sz w:val="21"/>
          <w:szCs w:val="21"/>
        </w:rPr>
      </w:pPr>
      <w:bookmarkStart w:id="2" w:name="mq639ek8zz2qtroygu"/>
      <w:r w:rsidRPr="001E4967">
        <w:rPr>
          <w:rFonts w:ascii="宋体" w:eastAsia="宋体" w:hAnsi="宋体"/>
          <w:sz w:val="21"/>
          <w:szCs w:val="21"/>
        </w:rPr>
        <w:t>1.2 AIGC进入广告视频生产后带来的新问题</w:t>
      </w:r>
      <w:bookmarkEnd w:id="2"/>
    </w:p>
    <w:p w14:paraId="35F8A6AB"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AIGC赋能广告视频生产，其价值不能简单归结为提升效率、压缩成本，更深层次的变化在于重构了广告视频的内容生成逻辑。传统广告视频需要经过品牌策略研讨、创意构思、脚本打磨、视听设计、实地拍摄、后期制作等一系列环节，内容表达依托创作者的经验积累与综合创作能力。而AIGC广告视频的产出，主要依靠训练语料、概率生成机制、提示词指令、多模态模型能力与智能工作流协同运作，二者的内容形成逻辑存在本质区别。</w:t>
      </w:r>
    </w:p>
    <w:p w14:paraId="1F1EB11C"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由此可见，当下研究的核心不再是评判AIGC工具的实用性与生产效率，而是探究技术变革是否改变了广告视频本身的内容形态。</w:t>
      </w:r>
      <w:proofErr w:type="gramStart"/>
      <w:r w:rsidRPr="00576DB9">
        <w:rPr>
          <w:rFonts w:ascii="宋体" w:eastAsia="宋体" w:hAnsi="宋体"/>
          <w:sz w:val="21"/>
          <w:szCs w:val="21"/>
        </w:rPr>
        <w:t>当创作</w:t>
      </w:r>
      <w:proofErr w:type="gramEnd"/>
      <w:r w:rsidRPr="00576DB9">
        <w:rPr>
          <w:rFonts w:ascii="宋体" w:eastAsia="宋体" w:hAnsi="宋体"/>
          <w:sz w:val="21"/>
          <w:szCs w:val="21"/>
        </w:rPr>
        <w:t>主体与生成机制全面革新后，广告诉求、叙事结构、人物塑造、品牌露出、情感表达、视听风格等核心内容维度，是否随之产生可总结、可归纳、可解读的系统性差异？</w:t>
      </w:r>
    </w:p>
    <w:p w14:paraId="777D417B" w14:textId="77777777" w:rsidR="00A8183B" w:rsidRPr="00576DB9" w:rsidRDefault="00000000">
      <w:pPr>
        <w:pStyle w:val="dingdocnormal"/>
        <w:rPr>
          <w:rFonts w:ascii="宋体" w:eastAsia="宋体" w:hAnsi="宋体"/>
          <w:sz w:val="21"/>
          <w:szCs w:val="21"/>
        </w:rPr>
      </w:pPr>
      <w:r w:rsidRPr="00576DB9">
        <w:rPr>
          <w:rFonts w:ascii="宋体" w:eastAsia="宋体" w:hAnsi="宋体"/>
          <w:sz w:val="21"/>
          <w:szCs w:val="21"/>
        </w:rPr>
        <w:t>这也明确了本课题的核心研究问题：人工创作广告视频与AIGC生成广告视频是否存在稳定的内容差异？若差异客观存在，不同的生产机制又是如何塑造出两类内容的不同特征。该问题既回应了广告行业转型的现实诉求，也是广告学、传播学领域具备研究价值的学术命题。</w:t>
      </w:r>
    </w:p>
    <w:p w14:paraId="1B46025F" w14:textId="77777777" w:rsidR="00A8183B" w:rsidRPr="001E4967" w:rsidRDefault="00000000">
      <w:pPr>
        <w:pStyle w:val="2"/>
        <w:rPr>
          <w:rFonts w:ascii="宋体" w:eastAsia="宋体" w:hAnsi="宋体"/>
          <w:sz w:val="21"/>
          <w:szCs w:val="21"/>
        </w:rPr>
      </w:pPr>
      <w:bookmarkStart w:id="3" w:name="mq639ek9scp5ujaq6ei"/>
      <w:r w:rsidRPr="001E4967">
        <w:rPr>
          <w:rFonts w:ascii="宋体" w:eastAsia="宋体" w:hAnsi="宋体"/>
          <w:sz w:val="21"/>
          <w:szCs w:val="21"/>
        </w:rPr>
        <w:t>1.3 本课题的学术转化路径</w:t>
      </w:r>
      <w:bookmarkEnd w:id="3"/>
    </w:p>
    <w:p w14:paraId="67D5C58F"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从表象来看，AIGC融入广告视频生产属于技术应用现象，聚焦工具迭代、平台升级与行业流程优化。但从广告学、传播学视角切入，研究不能止步于“技术如何提效”，而要深入探究不同生产机制对广告内容结构的塑造作用。本研究不将AIGC广告视作单纯的工具产物，而是把它定义为一种全新的内容生产机制，以此为基础分析广告视频在表达形态上的演变。</w:t>
      </w:r>
    </w:p>
    <w:p w14:paraId="0F08F0FE"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基于此，本研究确立清晰的学术转化路径：从行业内“人机协同制作广告视频”的现实现象切入，聚焦“生产机制差异如何影响广告视频内容结构”这一传播学、广告学核心问题。研究不以研发视频生成技术、撰写行业分析报告为目标，核心工作是对两类广告视频开展系统性内容对比，并阐释内容差异背后的底层逻辑。</w:t>
      </w:r>
    </w:p>
    <w:p w14:paraId="65120548"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具体而言，本研究将行业技术现象拆解为三个逐层递进的研究问题：第一，人工广告视频与AIGC广告视频在内容结构上是否存在明显差异；第二，差异集中体现在哪些具体维度；第三，结合人类创作逻辑与大模型生成逻辑，解释差异形成的原因。依托这一转化思路，本课题实现了从技术现象观察，到内容结构分析、传播机制解读的学术落地。</w:t>
      </w:r>
    </w:p>
    <w:p w14:paraId="7F618028" w14:textId="77777777" w:rsidR="00A8183B" w:rsidRPr="001E4967" w:rsidRDefault="00000000">
      <w:pPr>
        <w:pStyle w:val="2"/>
        <w:rPr>
          <w:rFonts w:ascii="宋体" w:eastAsia="宋体" w:hAnsi="宋体"/>
          <w:sz w:val="21"/>
          <w:szCs w:val="21"/>
        </w:rPr>
      </w:pPr>
      <w:bookmarkStart w:id="4" w:name="mq639ek9f989ccbfzp"/>
      <w:r w:rsidRPr="001E4967">
        <w:rPr>
          <w:rFonts w:ascii="宋体" w:eastAsia="宋体" w:hAnsi="宋体"/>
          <w:sz w:val="21"/>
          <w:szCs w:val="21"/>
        </w:rPr>
        <w:t>1.4 选择本课题的指导思想</w:t>
      </w:r>
      <w:bookmarkEnd w:id="4"/>
    </w:p>
    <w:p w14:paraId="5A7E790A"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本课题以广告视频内容为核心研究对象，整体采用对比分析+逻辑阐释的研究思路，对人工生成与AIGC生成两类广告视频展开系统性探究。</w:t>
      </w:r>
    </w:p>
    <w:p w14:paraId="40F64DDF"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所谓比较，即搭建统一的内容分析框架，将两类广告视频置于同一标准下横向对比，围绕广告诉求、叙事结构、人物设置、品牌呈现、情感表达、视听风格、创意完整性、模板化程度等维</w:t>
      </w:r>
      <w:proofErr w:type="gramStart"/>
      <w:r w:rsidRPr="00576DB9">
        <w:rPr>
          <w:rFonts w:ascii="宋体" w:eastAsia="宋体" w:hAnsi="宋体"/>
          <w:sz w:val="21"/>
          <w:szCs w:val="21"/>
        </w:rPr>
        <w:t>度展开</w:t>
      </w:r>
      <w:proofErr w:type="gramEnd"/>
      <w:r w:rsidRPr="00576DB9">
        <w:rPr>
          <w:rFonts w:ascii="宋体" w:eastAsia="宋体" w:hAnsi="宋体"/>
          <w:sz w:val="21"/>
          <w:szCs w:val="21"/>
        </w:rPr>
        <w:t>分析，提炼二者稳定的结构性差异。研究并非评判两类广告内容的优劣，而是客观呈现不同生产机制</w:t>
      </w:r>
      <w:proofErr w:type="gramStart"/>
      <w:r w:rsidRPr="00576DB9">
        <w:rPr>
          <w:rFonts w:ascii="宋体" w:eastAsia="宋体" w:hAnsi="宋体"/>
          <w:sz w:val="21"/>
          <w:szCs w:val="21"/>
        </w:rPr>
        <w:t>下广告</w:t>
      </w:r>
      <w:proofErr w:type="gramEnd"/>
      <w:r w:rsidRPr="00576DB9">
        <w:rPr>
          <w:rFonts w:ascii="宋体" w:eastAsia="宋体" w:hAnsi="宋体"/>
          <w:sz w:val="21"/>
          <w:szCs w:val="21"/>
        </w:rPr>
        <w:t>内容的外在特征。</w:t>
      </w:r>
    </w:p>
    <w:p w14:paraId="44164AAA"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lastRenderedPageBreak/>
        <w:t>所谓解释，即在对比结果之上，深挖内容差异的成因。人工广告视频的内容特征，与品牌策略、受众洞察、行业规范、团队协作模式、传统创意逻辑紧密相关；AIGC广告视频的内容形态，则受大模型概率生成规则、训练语料属性、提示词约束、多模态融合能力、智能</w:t>
      </w:r>
      <w:proofErr w:type="gramStart"/>
      <w:r w:rsidRPr="00576DB9">
        <w:rPr>
          <w:rFonts w:ascii="宋体" w:eastAsia="宋体" w:hAnsi="宋体"/>
          <w:sz w:val="21"/>
          <w:szCs w:val="21"/>
        </w:rPr>
        <w:t>体任务</w:t>
      </w:r>
      <w:proofErr w:type="gramEnd"/>
      <w:r w:rsidRPr="00576DB9">
        <w:rPr>
          <w:rFonts w:ascii="宋体" w:eastAsia="宋体" w:hAnsi="宋体"/>
          <w:sz w:val="21"/>
          <w:szCs w:val="21"/>
        </w:rPr>
        <w:t>边界等因素制约。因此本研究采用双向解释框架：一方面结合传统广告创作实践，解读人工广告叙事完整、情感细腻、品牌融合自然等特征的成因；另一方面结合大模型与智能体的技术特性，分析AIGC广告易出现模板化、内容拼贴、人物形象违和、情感表达单薄等问题的根源。</w:t>
      </w:r>
    </w:p>
    <w:p w14:paraId="263B2FC1"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选择本研究方向，旨在推动当下AIGC广告研究实现转向：跳出“技术应用”“传播效果”的常规讨论，深入探索内容结构变化与生产逻辑对内容的塑造作用。总而言之，在人工智能全面渗透广告创作的行业背景下，本研究力求将AIGC广告研究推向内容结构分析与生产逻辑阐释的深层研究阶段。</w:t>
      </w:r>
    </w:p>
    <w:p w14:paraId="47A3CA57" w14:textId="77777777" w:rsidR="00A8183B" w:rsidRPr="001E4967" w:rsidRDefault="00000000">
      <w:pPr>
        <w:pStyle w:val="2"/>
        <w:rPr>
          <w:rFonts w:ascii="宋体" w:eastAsia="宋体" w:hAnsi="宋体"/>
          <w:sz w:val="21"/>
          <w:szCs w:val="21"/>
        </w:rPr>
      </w:pPr>
      <w:bookmarkStart w:id="5" w:name="mq4z18sdrhm4quml6z8"/>
      <w:r w:rsidRPr="001E4967">
        <w:rPr>
          <w:rFonts w:ascii="宋体" w:eastAsia="宋体" w:hAnsi="宋体"/>
          <w:sz w:val="21"/>
          <w:szCs w:val="21"/>
        </w:rPr>
        <w:t>二、文献综述</w:t>
      </w:r>
      <w:bookmarkEnd w:id="5"/>
    </w:p>
    <w:p w14:paraId="71965387" w14:textId="77777777" w:rsidR="00A8183B" w:rsidRPr="001E4967" w:rsidRDefault="00000000">
      <w:pPr>
        <w:pStyle w:val="1"/>
        <w:rPr>
          <w:rFonts w:ascii="宋体" w:eastAsia="宋体" w:hAnsi="宋体"/>
          <w:sz w:val="21"/>
          <w:szCs w:val="21"/>
        </w:rPr>
      </w:pPr>
      <w:bookmarkStart w:id="6" w:name="mq60h65f36r7pqigc5y"/>
      <w:r w:rsidRPr="001E4967">
        <w:rPr>
          <w:rFonts w:ascii="宋体" w:eastAsia="宋体" w:hAnsi="宋体"/>
          <w:sz w:val="21"/>
          <w:szCs w:val="21"/>
        </w:rPr>
        <w:t>2.1 AIGC在广告领域的应用研究</w:t>
      </w:r>
      <w:bookmarkEnd w:id="6"/>
    </w:p>
    <w:p w14:paraId="2F0F5FC6" w14:textId="77777777" w:rsidR="00A8183B" w:rsidRPr="001E4967" w:rsidRDefault="00000000">
      <w:pPr>
        <w:pStyle w:val="2"/>
        <w:rPr>
          <w:rFonts w:ascii="宋体" w:eastAsia="宋体" w:hAnsi="宋体"/>
          <w:sz w:val="21"/>
          <w:szCs w:val="21"/>
        </w:rPr>
      </w:pPr>
      <w:bookmarkStart w:id="7" w:name="mq60h65f55yml8fc12t"/>
      <w:r w:rsidRPr="001E4967">
        <w:rPr>
          <w:rFonts w:ascii="宋体" w:eastAsia="宋体" w:hAnsi="宋体"/>
          <w:sz w:val="21"/>
          <w:szCs w:val="21"/>
        </w:rPr>
        <w:t>2.1.1 AIGC在广告创意生产中的应用</w:t>
      </w:r>
      <w:bookmarkEnd w:id="7"/>
    </w:p>
    <w:p w14:paraId="7BDA00F9"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现有针对AIGC广告领域的研究，首要聚焦于创意生产环节，覆盖广告文案撰写、图像制作、脚本策划、视频素材合成等多个模块。段淳林、陆昊琪（2026）提出，生成式AI已从传统创意辅助工具，逐步转变为广告创意生产的核心参与主体。它不再局限于基础文本输出，可依托隐喻生成、类比推理、反馈优化等能力，全程参与广告创意的构思与迭代。这意味着AIGC不仅大幅提升创意生产效率，还拓展了广告创意的表现形式与表达思路。</w:t>
      </w:r>
    </w:p>
    <w:p w14:paraId="75644CAF"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张可（2025）围绕合成广告展开研究，认为生成式AI依托自动生产、个性化定制、</w:t>
      </w:r>
      <w:proofErr w:type="gramStart"/>
      <w:r w:rsidRPr="001E4967">
        <w:rPr>
          <w:rFonts w:ascii="宋体" w:eastAsia="宋体" w:hAnsi="宋体"/>
          <w:sz w:val="21"/>
          <w:szCs w:val="21"/>
        </w:rPr>
        <w:t>精准触达等</w:t>
      </w:r>
      <w:proofErr w:type="gramEnd"/>
      <w:r w:rsidRPr="001E4967">
        <w:rPr>
          <w:rFonts w:ascii="宋体" w:eastAsia="宋体" w:hAnsi="宋体"/>
          <w:sz w:val="21"/>
          <w:szCs w:val="21"/>
        </w:rPr>
        <w:t>优势，重构了广告内容生产逻辑，推动行业从依赖人工经验的制作模式，转向算法驱动、匹配受众需求的智能化生产模式。</w:t>
      </w:r>
    </w:p>
    <w:p w14:paraId="23DEDC13"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若将视角延伸至多模态内容生产全链条，AIGC的应用边界仍在不断拓宽。闫朋辉、吕正兵（2026）在短视频生产研究中指出，AIGC可一站式完成脚本创作、AI配乐、语音合成、影像生成、智能剪辑等工作。该研究虽未专门指向广告领域，但其总结的多模态生成能力，为广告短视频、品牌宣传片、社交传播素材的制作提供了重要参考。</w:t>
      </w:r>
    </w:p>
    <w:p w14:paraId="37AD7A2D"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综合现有文献，学界普遍将AIGC定位为广告创意生产的辅助工具、效能增强手段与功能性平台，研究重心集中在提速、降本、丰富创意表达等方向，鲜有深入探讨：AIGC是否在广告意义生产环节，形成了独立的内容生成逻辑。</w:t>
      </w:r>
    </w:p>
    <w:p w14:paraId="1534EFCF" w14:textId="77777777" w:rsidR="00A8183B" w:rsidRPr="001E4967" w:rsidRDefault="00000000">
      <w:pPr>
        <w:pStyle w:val="2"/>
        <w:rPr>
          <w:rFonts w:ascii="宋体" w:eastAsia="宋体" w:hAnsi="宋体"/>
          <w:sz w:val="21"/>
          <w:szCs w:val="21"/>
        </w:rPr>
      </w:pPr>
      <w:bookmarkStart w:id="8" w:name="mq60h65jgfrvqjqced6"/>
      <w:r w:rsidRPr="001E4967">
        <w:rPr>
          <w:rFonts w:ascii="宋体" w:eastAsia="宋体" w:hAnsi="宋体"/>
          <w:sz w:val="21"/>
          <w:szCs w:val="21"/>
        </w:rPr>
        <w:t>2.1.2 AIGC对广告流程与产业结构的影响</w:t>
      </w:r>
      <w:bookmarkEnd w:id="8"/>
    </w:p>
    <w:p w14:paraId="2AE09B69"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除创意生产维度外，当下研究也从行业整体、业务流程视角，剖析AIGC对广告行业体系的重构作用。段淳林、魏方（2025）结合认知计算广告研究范式变革分析，大模型与AI知识库的融合应用，让计算广告从“大数据驱动”迈入“知识生成驱动”新阶段。广告业务流程也随之改变，不再是简单的素材加工与投放链路，演变为融合数据识别、内容创作、知识调用、动态优化、智能反馈的复合型全流程。张可（2025）同样提出，合成广告的兴起不仅改变了广告内容形态，也重塑了广告传播模式与行业价值体系。</w:t>
      </w:r>
    </w:p>
    <w:p w14:paraId="05B6E25D"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与此同时，AIGC也深刻改变了广告行业的岗位分工与协作模式。闫朋辉、吕正兵（2026）表示，内容生产由传统线性人工流程，升级为端到端一体化智能工作流。卜彦芳、程雨宁（2026）从行动</w:t>
      </w:r>
      <w:proofErr w:type="gramStart"/>
      <w:r w:rsidRPr="001E4967">
        <w:rPr>
          <w:rFonts w:ascii="宋体" w:eastAsia="宋体" w:hAnsi="宋体"/>
          <w:sz w:val="21"/>
          <w:szCs w:val="21"/>
        </w:rPr>
        <w:t>者网络</w:t>
      </w:r>
      <w:proofErr w:type="gramEnd"/>
      <w:r w:rsidRPr="001E4967">
        <w:rPr>
          <w:rFonts w:ascii="宋体" w:eastAsia="宋体" w:hAnsi="宋体"/>
          <w:sz w:val="21"/>
          <w:szCs w:val="21"/>
        </w:rPr>
        <w:t>视角分析，AIGC推动创作者、平台、用户建立全新协作关系，各大平台也逐步将AIGC纳入底层生产基础设施。</w:t>
      </w:r>
    </w:p>
    <w:p w14:paraId="5416CDBF"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落地到广告行业来看，文案、设计、视频制作、投放优化等传统岗位，职能发生明显转变，从业人员更多承担提示词设计、内容筛选、模型调度、人机协同等复合型工作。简言之，AIGC并非仅作为单点工具落地广告行业，而是推动广告业务流程、职业角色、产业组织模式实现系统性变革。</w:t>
      </w:r>
    </w:p>
    <w:p w14:paraId="09DFE890" w14:textId="77777777" w:rsidR="00A8183B" w:rsidRPr="001E4967" w:rsidRDefault="00000000">
      <w:pPr>
        <w:pStyle w:val="2"/>
        <w:rPr>
          <w:rFonts w:ascii="宋体" w:eastAsia="宋体" w:hAnsi="宋体"/>
          <w:sz w:val="21"/>
          <w:szCs w:val="21"/>
        </w:rPr>
      </w:pPr>
      <w:bookmarkStart w:id="9" w:name="mq60h65lo245lte4tj"/>
      <w:r w:rsidRPr="001E4967">
        <w:rPr>
          <w:rFonts w:ascii="宋体" w:eastAsia="宋体" w:hAnsi="宋体"/>
          <w:sz w:val="21"/>
          <w:szCs w:val="21"/>
        </w:rPr>
        <w:t>2.1.3 小结：现有研究偏重“如何应用”</w:t>
      </w:r>
      <w:bookmarkEnd w:id="9"/>
    </w:p>
    <w:p w14:paraId="6DE99D6C"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整体而言，AIGC广告应用领域已形成完整的研究脉络，围绕创意生成、流程重构、人机协作、产业升级等方向展开探讨，集中解答了AIGC如何落地广告实践这一核心问题。无论是对文案、图像、视频等内容生产的分析，还是对业务流程、岗位结构、行业协作关系的梳理，现有研究均聚焦于技术应用能力与落地产生的实际影响（段淳林、魏方，2025；张可，2025；段淳林、陆昊琪，2026）。</w:t>
      </w:r>
    </w:p>
    <w:p w14:paraId="36493285"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但现有研究存在明显偏向，整体侧重技术应用方式，针对AI生成广告的内容架构、叙事逻辑、符号运用、意义建构等深层内容特征，缺乏精细化剖析。现有文献多探讨“技术如何作用于广告”，却极少深入研究“AI广告本身具备哪些全新内容特质”。</w:t>
      </w:r>
    </w:p>
    <w:p w14:paraId="3123DC94" w14:textId="77777777" w:rsidR="00A8183B" w:rsidRPr="001E4967" w:rsidRDefault="00000000">
      <w:pPr>
        <w:pStyle w:val="1"/>
        <w:rPr>
          <w:rFonts w:ascii="宋体" w:eastAsia="宋体" w:hAnsi="宋体"/>
          <w:sz w:val="21"/>
          <w:szCs w:val="21"/>
        </w:rPr>
      </w:pPr>
      <w:bookmarkStart w:id="10" w:name="mq622qhfybtu316b2gg"/>
      <w:r w:rsidRPr="001E4967">
        <w:rPr>
          <w:rFonts w:ascii="宋体" w:eastAsia="宋体" w:hAnsi="宋体"/>
          <w:sz w:val="21"/>
          <w:szCs w:val="21"/>
        </w:rPr>
        <w:lastRenderedPageBreak/>
        <w:t>2.2 广告内容分析与广告视频研究</w:t>
      </w:r>
      <w:bookmarkEnd w:id="10"/>
    </w:p>
    <w:p w14:paraId="47D1DF73" w14:textId="77777777" w:rsidR="00A8183B" w:rsidRPr="001E4967" w:rsidRDefault="00000000">
      <w:pPr>
        <w:pStyle w:val="2"/>
        <w:rPr>
          <w:rFonts w:ascii="宋体" w:eastAsia="宋体" w:hAnsi="宋体"/>
          <w:sz w:val="21"/>
          <w:szCs w:val="21"/>
        </w:rPr>
      </w:pPr>
      <w:bookmarkStart w:id="11" w:name="mq622qhfy03698rulb8"/>
      <w:r w:rsidRPr="001E4967">
        <w:rPr>
          <w:rFonts w:ascii="宋体" w:eastAsia="宋体" w:hAnsi="宋体"/>
          <w:sz w:val="21"/>
          <w:szCs w:val="21"/>
        </w:rPr>
        <w:t>2.2.1 传统广告内容分析研究的主要维度</w:t>
      </w:r>
      <w:bookmarkEnd w:id="11"/>
    </w:p>
    <w:p w14:paraId="597615C5"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广告内容分析是广告研究中最稳定的方法路径之一，其核心任务在于将广告文本、图像与视听表达拆解为可识别、可比较的内容维度。</w:t>
      </w:r>
    </w:p>
    <w:p w14:paraId="222DFBFD"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既有研究通常围绕广告诉求、叙事结构、人物设置、品牌露出和情感表达等方面展开。其中，广告诉求主要区分理性诉求与感性诉求，并进一步考察产品功能、消费利益、身份象征和价值认同等表达重点；叙事结构则关注广告是否采用故事化组织、如何设置情境和冲突、品牌在情节中的进入方式；人物设置通常涉及性别形象、角色身份、互动关系及其所激活的代入机制；品牌露出</w:t>
      </w:r>
      <w:proofErr w:type="gramStart"/>
      <w:r w:rsidRPr="001E4967">
        <w:rPr>
          <w:rFonts w:ascii="宋体" w:eastAsia="宋体" w:hAnsi="宋体"/>
          <w:sz w:val="21"/>
          <w:szCs w:val="21"/>
        </w:rPr>
        <w:t>则考察</w:t>
      </w:r>
      <w:proofErr w:type="gramEnd"/>
      <w:r w:rsidRPr="001E4967">
        <w:rPr>
          <w:rFonts w:ascii="宋体" w:eastAsia="宋体" w:hAnsi="宋体"/>
          <w:sz w:val="21"/>
          <w:szCs w:val="21"/>
        </w:rPr>
        <w:t>品牌名称、产品、标识和核心信息的呈现时点、时长和强度；情感表达则聚焦语言、画面、音乐、色彩和节奏如何共同建构情绪氛围。</w:t>
      </w:r>
    </w:p>
    <w:p w14:paraId="5928CF15"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从研究功能看，这些维度不仅用于描述广告“呈现了什么”，也用于解释广告“为何产生特定传播效果”。这一点在新近 AI 广告研究中仍然成立。Liu 与 Yim（2026）在 AI 生成视频广告工具采用研究中，将审美性、真实性和创造性视为影响设计者使用意愿的关键内容质量因素，说明即使进入 AIGC 阶段，广告分析依然离不开对内容构成要素的拆解。由此可见，传统广告内容分析所形成的维度体系，仍然是后续构建 AI 广告视频编码框架的重要理论来源。</w:t>
      </w:r>
    </w:p>
    <w:p w14:paraId="0D9D3EFC" w14:textId="77777777" w:rsidR="00A8183B" w:rsidRPr="001E4967" w:rsidRDefault="00000000">
      <w:pPr>
        <w:pStyle w:val="2"/>
        <w:rPr>
          <w:rFonts w:ascii="宋体" w:eastAsia="宋体" w:hAnsi="宋体"/>
          <w:sz w:val="21"/>
          <w:szCs w:val="21"/>
        </w:rPr>
      </w:pPr>
      <w:bookmarkStart w:id="12" w:name="mq622qhhc5n0jy7e5s"/>
      <w:r w:rsidRPr="001E4967">
        <w:rPr>
          <w:rFonts w:ascii="宋体" w:eastAsia="宋体" w:hAnsi="宋体"/>
          <w:sz w:val="21"/>
          <w:szCs w:val="21"/>
        </w:rPr>
        <w:t>2.3.2 视频广告与短视频广告研究进展</w:t>
      </w:r>
      <w:bookmarkEnd w:id="12"/>
    </w:p>
    <w:p w14:paraId="648601AB"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随着广告传播由平面与单向视频扩展到平台化视频和短视频环境，视频广告研究逐步形成了更成熟的分析路径。</w:t>
      </w:r>
    </w:p>
    <w:p w14:paraId="03FAD8D6"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闫朋辉、吕正兵（2026）指出，AIGC 正推动短视频生产由线性人工流程转向端到端的一体化工作流，脚本生成、语音合成、画面生成和智能剪辑被重新整合，这使视频内容研究必须同时关注内容结构与生产逻辑。卜彦芳、程雨宁（2026）则从行动</w:t>
      </w:r>
      <w:proofErr w:type="gramStart"/>
      <w:r w:rsidRPr="001E4967">
        <w:rPr>
          <w:rFonts w:ascii="宋体" w:eastAsia="宋体" w:hAnsi="宋体"/>
          <w:sz w:val="21"/>
          <w:szCs w:val="21"/>
        </w:rPr>
        <w:t>者网络</w:t>
      </w:r>
      <w:proofErr w:type="gramEnd"/>
      <w:r w:rsidRPr="001E4967">
        <w:rPr>
          <w:rFonts w:ascii="宋体" w:eastAsia="宋体" w:hAnsi="宋体"/>
          <w:sz w:val="21"/>
          <w:szCs w:val="21"/>
        </w:rPr>
        <w:t>视角指出，平台、创作者、用户与 AIGC 之间的协同关系正在改变视频内容生产机制，说明视频研究已不再局限于文本和画面层面的静态分析，而需要纳入平台基础设施和互动结构。周杨（2026）关于城市记忆短视频的研究进一步表明，视频内容研究已经能够从在地性、主体性和价值风险等更细层面分析内容结构。</w:t>
      </w:r>
    </w:p>
    <w:p w14:paraId="495D49CE"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与此同时，Liu 与 Yim（2026）以统一提示词生成的香水广告视频为刺激材料，讨论审美性、真实性和创造性如何影响设计者对 AI 视频广告工具的采用意愿，这实际上也为 AI 视频广告的内容维度识别提供了一个较清晰的经验入口。总体而言，无论是传统视频广告、平台短视频广告，还是品牌视频传播研究，相关领域已经积累出较成熟的分析路径。</w:t>
      </w:r>
    </w:p>
    <w:p w14:paraId="1AE5494B" w14:textId="77777777" w:rsidR="00A8183B" w:rsidRPr="001E4967" w:rsidRDefault="00000000">
      <w:pPr>
        <w:pStyle w:val="2"/>
        <w:rPr>
          <w:rFonts w:ascii="宋体" w:eastAsia="宋体" w:hAnsi="宋体"/>
          <w:sz w:val="21"/>
          <w:szCs w:val="21"/>
        </w:rPr>
      </w:pPr>
      <w:bookmarkStart w:id="13" w:name="mq622qhibunnsdim5k7"/>
      <w:r w:rsidRPr="001E4967">
        <w:rPr>
          <w:rFonts w:ascii="宋体" w:eastAsia="宋体" w:hAnsi="宋体"/>
          <w:sz w:val="21"/>
          <w:szCs w:val="21"/>
        </w:rPr>
        <w:t>2.3.3 小结：现有范式可为AIGC广告视频研究提供方法基础</w:t>
      </w:r>
      <w:bookmarkEnd w:id="13"/>
    </w:p>
    <w:p w14:paraId="69397379"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总体来看，传统广告内容分析已经围绕诉求方式、叙事结构、人物设置、品牌呈现和情感表达形成较稳定的研究框架， 而视频广告与短视频研究则进一步扩展了视听语言、平台适配、互动机制和多模态表达等分析维度（闫朋辉、吕正兵，2026；卜彦芳、程雨宁，2026；周杨，2026；Liu and Yim, 2026）。</w:t>
      </w:r>
    </w:p>
    <w:p w14:paraId="5C0FCFC2"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因此，AIGC 广告视频研究并不是在</w:t>
      </w:r>
      <w:proofErr w:type="gramStart"/>
      <w:r w:rsidRPr="001E4967">
        <w:rPr>
          <w:rFonts w:ascii="宋体" w:eastAsia="宋体" w:hAnsi="宋体"/>
          <w:sz w:val="21"/>
          <w:szCs w:val="21"/>
        </w:rPr>
        <w:t>无前史状态</w:t>
      </w:r>
      <w:proofErr w:type="gramEnd"/>
      <w:r w:rsidRPr="001E4967">
        <w:rPr>
          <w:rFonts w:ascii="宋体" w:eastAsia="宋体" w:hAnsi="宋体"/>
          <w:sz w:val="21"/>
          <w:szCs w:val="21"/>
        </w:rPr>
        <w:t>下“凭空建维度”，而是在既有广告内容分析传统与视频传播研究路径基础上的延伸和调整。换言之，后续若对 AI 广告视频开展内容编码，其维度设置应被理解为对传统分析范式的接续，而不是脱离广告研究积累的重新发明。</w:t>
      </w:r>
    </w:p>
    <w:p w14:paraId="65A22768" w14:textId="77777777" w:rsidR="00A8183B" w:rsidRPr="001E4967" w:rsidRDefault="00000000">
      <w:pPr>
        <w:pStyle w:val="1"/>
        <w:rPr>
          <w:rFonts w:ascii="宋体" w:eastAsia="宋体" w:hAnsi="宋体"/>
          <w:sz w:val="21"/>
          <w:szCs w:val="21"/>
        </w:rPr>
      </w:pPr>
      <w:bookmarkStart w:id="14" w:name="mq622qhjkw85erws8l"/>
      <w:r w:rsidRPr="001E4967">
        <w:rPr>
          <w:rFonts w:ascii="宋体" w:eastAsia="宋体" w:hAnsi="宋体"/>
          <w:sz w:val="21"/>
          <w:szCs w:val="21"/>
        </w:rPr>
        <w:t>2.4 AI生成内容与人工内容比较研究</w:t>
      </w:r>
      <w:bookmarkEnd w:id="14"/>
    </w:p>
    <w:p w14:paraId="18CEAA22" w14:textId="77777777" w:rsidR="00A8183B" w:rsidRPr="001E4967" w:rsidRDefault="00000000">
      <w:pPr>
        <w:pStyle w:val="2"/>
        <w:rPr>
          <w:rFonts w:ascii="宋体" w:eastAsia="宋体" w:hAnsi="宋体"/>
          <w:sz w:val="21"/>
          <w:szCs w:val="21"/>
        </w:rPr>
      </w:pPr>
      <w:bookmarkStart w:id="15" w:name="mq622qhltblwe7tkyxq"/>
      <w:r w:rsidRPr="001E4967">
        <w:rPr>
          <w:rFonts w:ascii="宋体" w:eastAsia="宋体" w:hAnsi="宋体"/>
          <w:sz w:val="21"/>
          <w:szCs w:val="21"/>
        </w:rPr>
        <w:t>2.4.1 人机视频内容比较研究</w:t>
      </w:r>
      <w:bookmarkEnd w:id="15"/>
    </w:p>
    <w:p w14:paraId="4B619CAA"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相较于文本研究，人机图像与视频内容比较近年来明显升温，但总体仍处于扩展阶段。现有研究更关注视觉内容的真实性、社会临场感、审美质量、创造性感知以及“机器感”所带来的接受差异。</w:t>
      </w:r>
    </w:p>
    <w:p w14:paraId="7AC3F614"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Xu et al.（2025）比较了 AI 生成教学视频与传统录制视频，发现 AI 视频在促进学习上的总体效果并不显著低于录制视频，但在社会临场感和主观偏好上仍略弱于人工视频。</w:t>
      </w:r>
      <w:proofErr w:type="spellStart"/>
      <w:r w:rsidRPr="001E4967">
        <w:rPr>
          <w:rFonts w:ascii="宋体" w:eastAsia="宋体" w:hAnsi="宋体"/>
          <w:sz w:val="21"/>
          <w:szCs w:val="21"/>
        </w:rPr>
        <w:t>Netland</w:t>
      </w:r>
      <w:proofErr w:type="spellEnd"/>
      <w:r w:rsidRPr="001E4967">
        <w:rPr>
          <w:rFonts w:ascii="宋体" w:eastAsia="宋体" w:hAnsi="宋体"/>
          <w:sz w:val="21"/>
          <w:szCs w:val="21"/>
        </w:rPr>
        <w:t xml:space="preserve"> et al.（2025）同样发现，人类制作视频在学习体验上具有小幅优势，但 AI 生成视频在知识获得结果上并未显示出明显劣势。这类研究表明，</w:t>
      </w:r>
      <w:proofErr w:type="gramStart"/>
      <w:r w:rsidRPr="001E4967">
        <w:rPr>
          <w:rFonts w:ascii="宋体" w:eastAsia="宋体" w:hAnsi="宋体"/>
          <w:sz w:val="21"/>
          <w:szCs w:val="21"/>
        </w:rPr>
        <w:t>人机视频比较已经从“</w:t>
      </w:r>
      <w:proofErr w:type="gramEnd"/>
      <w:r w:rsidRPr="001E4967">
        <w:rPr>
          <w:rFonts w:ascii="宋体" w:eastAsia="宋体" w:hAnsi="宋体"/>
          <w:sz w:val="21"/>
          <w:szCs w:val="21"/>
        </w:rPr>
        <w:t>技术可行性”转向“体验和效果差异”的经验检验。</w:t>
      </w:r>
    </w:p>
    <w:p w14:paraId="4AC452AE"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在广告相关语境中，这一路径也开始出现。</w:t>
      </w:r>
      <w:proofErr w:type="spellStart"/>
      <w:r w:rsidRPr="001E4967">
        <w:rPr>
          <w:rFonts w:ascii="宋体" w:eastAsia="宋体" w:hAnsi="宋体"/>
          <w:sz w:val="21"/>
          <w:szCs w:val="21"/>
        </w:rPr>
        <w:t>Lankinen</w:t>
      </w:r>
      <w:proofErr w:type="spellEnd"/>
      <w:r w:rsidRPr="001E4967">
        <w:rPr>
          <w:rFonts w:ascii="宋体" w:eastAsia="宋体" w:hAnsi="宋体"/>
          <w:sz w:val="21"/>
          <w:szCs w:val="21"/>
        </w:rPr>
        <w:t>（2025）明确指出，既有 AI 披露研究大多使用图像广告或文本作为刺激材料，而以视频广告为对象的证据仍然有限；其研究进一步以 AI 生成视频广告为刺激，讨论其对广告态度和品牌态度的影响。与此同时，Liu 与 Yim（2026）表明，审美性、真实性和创造性会显著影响设计者对 AI 生成视频广告工具的采用意愿，这说明图像/视频比较研究已开始进入广告视频的内容质量层面。总体而言，人机图像/视频比较研究已经出现，但在广告视频场景中仍显稀薄。</w:t>
      </w:r>
    </w:p>
    <w:p w14:paraId="68A4A8F6" w14:textId="720BBC0C" w:rsidR="00A8183B" w:rsidRPr="001E4967" w:rsidRDefault="00000000">
      <w:pPr>
        <w:pStyle w:val="2"/>
        <w:rPr>
          <w:rFonts w:ascii="宋体" w:eastAsia="宋体" w:hAnsi="宋体"/>
          <w:sz w:val="21"/>
          <w:szCs w:val="21"/>
        </w:rPr>
      </w:pPr>
      <w:bookmarkStart w:id="16" w:name="mq622qhn41osm383jt2"/>
      <w:r w:rsidRPr="001E4967">
        <w:rPr>
          <w:rFonts w:ascii="宋体" w:eastAsia="宋体" w:hAnsi="宋体"/>
          <w:sz w:val="21"/>
          <w:szCs w:val="21"/>
        </w:rPr>
        <w:lastRenderedPageBreak/>
        <w:t>2.4.</w:t>
      </w:r>
      <w:r w:rsidR="001E4967">
        <w:rPr>
          <w:rFonts w:ascii="宋体" w:eastAsia="宋体" w:hAnsi="宋体" w:hint="eastAsia"/>
          <w:sz w:val="21"/>
          <w:szCs w:val="21"/>
        </w:rPr>
        <w:t>2</w:t>
      </w:r>
      <w:r w:rsidRPr="001E4967">
        <w:rPr>
          <w:rFonts w:ascii="宋体" w:eastAsia="宋体" w:hAnsi="宋体"/>
          <w:sz w:val="21"/>
          <w:szCs w:val="21"/>
        </w:rPr>
        <w:t xml:space="preserve"> 小结：比较研究路径已出现，但广告视频研究仍薄弱</w:t>
      </w:r>
      <w:bookmarkEnd w:id="16"/>
    </w:p>
    <w:p w14:paraId="0FF2D7B6"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总体来看，AI 生成内容与人工内容的比较研究已经在文本、图像和视频三个层面逐渐展开，研究重点集中在潜在语义判断、可信度、信息多样性、社会临场感、真实性和主观体验等方面（</w:t>
      </w:r>
      <w:proofErr w:type="spellStart"/>
      <w:r w:rsidRPr="001E4967">
        <w:rPr>
          <w:rFonts w:ascii="宋体" w:eastAsia="宋体" w:hAnsi="宋体"/>
          <w:sz w:val="21"/>
          <w:szCs w:val="21"/>
        </w:rPr>
        <w:t>Boji</w:t>
      </w:r>
      <w:r w:rsidRPr="001E4967">
        <w:rPr>
          <w:rFonts w:ascii="Cambria" w:eastAsia="宋体" w:hAnsi="Cambria" w:cs="Cambria"/>
          <w:sz w:val="21"/>
          <w:szCs w:val="21"/>
        </w:rPr>
        <w:t>ć</w:t>
      </w:r>
      <w:proofErr w:type="spellEnd"/>
      <w:r w:rsidRPr="001E4967">
        <w:rPr>
          <w:rFonts w:ascii="宋体" w:eastAsia="宋体" w:hAnsi="宋体"/>
          <w:sz w:val="21"/>
          <w:szCs w:val="21"/>
        </w:rPr>
        <w:t xml:space="preserve"> et al., 2025；刘佳等，2026；李鹏程等，2026；Xu et al., 2025；</w:t>
      </w:r>
      <w:proofErr w:type="spellStart"/>
      <w:r w:rsidRPr="001E4967">
        <w:rPr>
          <w:rFonts w:ascii="宋体" w:eastAsia="宋体" w:hAnsi="宋体"/>
          <w:sz w:val="21"/>
          <w:szCs w:val="21"/>
        </w:rPr>
        <w:t>Netland</w:t>
      </w:r>
      <w:proofErr w:type="spellEnd"/>
      <w:r w:rsidRPr="001E4967">
        <w:rPr>
          <w:rFonts w:ascii="宋体" w:eastAsia="宋体" w:hAnsi="宋体"/>
          <w:sz w:val="21"/>
          <w:szCs w:val="21"/>
        </w:rPr>
        <w:t xml:space="preserve"> et al., 2025）。这说明“人机比较”已经成为理解 AIGC 内容特征的重要路径。</w:t>
      </w:r>
    </w:p>
    <w:p w14:paraId="724A1BA2"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然而，现有研究一方面更多集中于教学视频、一般信息内容或平台输出场景，另一方面即便进入广告领域，也多停留于披露效应、态度反应或工具采用层面（</w:t>
      </w:r>
      <w:proofErr w:type="spellStart"/>
      <w:r w:rsidRPr="001E4967">
        <w:rPr>
          <w:rFonts w:ascii="宋体" w:eastAsia="宋体" w:hAnsi="宋体"/>
          <w:sz w:val="21"/>
          <w:szCs w:val="21"/>
        </w:rPr>
        <w:t>Lankinen</w:t>
      </w:r>
      <w:proofErr w:type="spellEnd"/>
      <w:r w:rsidRPr="001E4967">
        <w:rPr>
          <w:rFonts w:ascii="宋体" w:eastAsia="宋体" w:hAnsi="宋体"/>
          <w:sz w:val="21"/>
          <w:szCs w:val="21"/>
        </w:rPr>
        <w:t>, 2025；Liu and Yim, 2026），对于 AI 广告视频与人工广告视频在内容结构、叙事方式、人物建构和品牌呈现上的系统比较仍然不足。也正因如此，将比较研究路径进一步推进到广告视频内容层面，构成了本文研究的直接前置与现实必要性。</w:t>
      </w:r>
    </w:p>
    <w:p w14:paraId="201310BC" w14:textId="77777777" w:rsidR="00A8183B" w:rsidRPr="001E4967" w:rsidRDefault="00A8183B">
      <w:pPr>
        <w:pStyle w:val="dingdocnormal"/>
        <w:rPr>
          <w:rFonts w:ascii="宋体" w:eastAsia="宋体" w:hAnsi="宋体"/>
          <w:sz w:val="21"/>
          <w:szCs w:val="21"/>
        </w:rPr>
      </w:pPr>
    </w:p>
    <w:p w14:paraId="1675D1F1" w14:textId="77777777" w:rsidR="00A8183B" w:rsidRPr="001E4967" w:rsidRDefault="00000000">
      <w:pPr>
        <w:pStyle w:val="1"/>
        <w:rPr>
          <w:rFonts w:ascii="宋体" w:eastAsia="宋体" w:hAnsi="宋体"/>
          <w:sz w:val="21"/>
          <w:szCs w:val="21"/>
        </w:rPr>
      </w:pPr>
      <w:bookmarkStart w:id="17" w:name="mq4z8ruh8zgd4h0tgf9"/>
      <w:r w:rsidRPr="001E4967">
        <w:rPr>
          <w:rFonts w:ascii="宋体" w:eastAsia="宋体" w:hAnsi="宋体"/>
          <w:sz w:val="21"/>
          <w:szCs w:val="21"/>
        </w:rPr>
        <w:t>三、本课题研究的内容、目的和意义</w:t>
      </w:r>
      <w:bookmarkEnd w:id="17"/>
    </w:p>
    <w:p w14:paraId="4103D5A1" w14:textId="77777777" w:rsidR="00A8183B" w:rsidRPr="001E4967" w:rsidRDefault="00000000">
      <w:pPr>
        <w:pStyle w:val="2"/>
        <w:rPr>
          <w:rFonts w:ascii="宋体" w:eastAsia="宋体" w:hAnsi="宋体"/>
          <w:sz w:val="21"/>
          <w:szCs w:val="21"/>
        </w:rPr>
      </w:pPr>
      <w:bookmarkStart w:id="18" w:name="mq4z8ruh8qyglvp45qd"/>
      <w:r w:rsidRPr="001E4967">
        <w:rPr>
          <w:rFonts w:ascii="宋体" w:eastAsia="宋体" w:hAnsi="宋体"/>
          <w:sz w:val="21"/>
          <w:szCs w:val="21"/>
        </w:rPr>
        <w:t>（一）本课题研究的内容</w:t>
      </w:r>
      <w:bookmarkEnd w:id="18"/>
    </w:p>
    <w:p w14:paraId="4B275B7A"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本课题围绕人工创作广告视频与AIGC生成广告视频的内容差异及背后生成逻辑展开探究，聚焦两类不同生产主体产出的广告作品在内容形态上的特征区别，并深挖差异形成的内在机制，具体研究内容分为四个部分。</w:t>
      </w:r>
    </w:p>
    <w:p w14:paraId="3FED36EE"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第一，开展两类广告视频的系统性内容对比。本研究以公开投放的广告视频为样本，选取广告诉求、叙事结构、人物设置、品牌呈现、情感表达、视听风格、创意完整性、模板化程度等多个维度，全面剖析人工广告与AIGC广告在内容组织、表现手法上的异同。研究不以简单评判作品优劣为目的，核心是识别二者是否存在稳定的结构性差异，并归纳各自典型的内容特征。</w:t>
      </w:r>
    </w:p>
    <w:p w14:paraId="0A61199D"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第二，解读人工广告视频的内容形成逻辑。人工广告并非单纯的视觉成品，而是创意团队结合品牌传播目标、受众画像、媒介属性、行业规范与创作经验综合打磨的成果。本文结合广告行业传统创意生产逻辑，分析人工广告的叙事手法、情绪营造、品牌植入方式与视听设计思路，厘清其内容特征与品牌策略、市场</w:t>
      </w:r>
      <w:proofErr w:type="gramStart"/>
      <w:r w:rsidRPr="00576DB9">
        <w:rPr>
          <w:rFonts w:ascii="宋体" w:eastAsia="宋体" w:hAnsi="宋体"/>
          <w:sz w:val="21"/>
          <w:szCs w:val="21"/>
        </w:rPr>
        <w:t>研</w:t>
      </w:r>
      <w:proofErr w:type="gramEnd"/>
      <w:r w:rsidRPr="00576DB9">
        <w:rPr>
          <w:rFonts w:ascii="宋体" w:eastAsia="宋体" w:hAnsi="宋体"/>
          <w:sz w:val="21"/>
          <w:szCs w:val="21"/>
        </w:rPr>
        <w:t>判、创作流程、专业准则之间的内在关联。</w:t>
      </w:r>
    </w:p>
    <w:p w14:paraId="4A2044A5"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第三，阐释AIGC广告视频的内容特征与生成机制。AIGC广告依托大模型概率生成规则、训练数据、提示词指令、多模态融合能力以及智能</w:t>
      </w:r>
      <w:proofErr w:type="gramStart"/>
      <w:r w:rsidRPr="00576DB9">
        <w:rPr>
          <w:rFonts w:ascii="宋体" w:eastAsia="宋体" w:hAnsi="宋体"/>
          <w:sz w:val="21"/>
          <w:szCs w:val="21"/>
        </w:rPr>
        <w:t>体任务</w:t>
      </w:r>
      <w:proofErr w:type="gramEnd"/>
      <w:r w:rsidRPr="00576DB9">
        <w:rPr>
          <w:rFonts w:ascii="宋体" w:eastAsia="宋体" w:hAnsi="宋体"/>
          <w:sz w:val="21"/>
          <w:szCs w:val="21"/>
        </w:rPr>
        <w:t>编排能力完成创作，这也使其在叙事连贯性、人物形象稳定性、情感表达细腻度、创意丰富度、品牌呈现形式上，形成了区别于人工广告的表达特点。研究将结合技术原理、行业产品资料与现有学术成果，在内容对比的基础上，对AIGC广告的典型特征做出机制层面的解释。</w:t>
      </w:r>
    </w:p>
    <w:p w14:paraId="52F65903"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第四，搭建人机广告视频对比分析框架。整合内容差异分析与生成逻辑解读两大模块，兼顾外在内容表现与底层生产机制，构建一套完整的分析体系。该框架既可解答人工广告与AIGC广告存在哪些内容差异，也能解释差异产生的根源，为后续同类研究提供标准化的分析思路与研究范式。</w:t>
      </w:r>
    </w:p>
    <w:p w14:paraId="4FC1B795" w14:textId="77777777" w:rsidR="00A8183B" w:rsidRPr="001E4967" w:rsidRDefault="00000000">
      <w:pPr>
        <w:pStyle w:val="2"/>
        <w:rPr>
          <w:rFonts w:ascii="宋体" w:eastAsia="宋体" w:hAnsi="宋体"/>
          <w:sz w:val="21"/>
          <w:szCs w:val="21"/>
        </w:rPr>
      </w:pPr>
      <w:bookmarkStart w:id="19" w:name="mq4z8ruklthd3y5kxs"/>
      <w:r w:rsidRPr="001E4967">
        <w:rPr>
          <w:rFonts w:ascii="宋体" w:eastAsia="宋体" w:hAnsi="宋体"/>
          <w:sz w:val="21"/>
          <w:szCs w:val="21"/>
        </w:rPr>
        <w:t>（二）本课题研究的目的</w:t>
      </w:r>
      <w:bookmarkEnd w:id="19"/>
    </w:p>
    <w:p w14:paraId="55ACB3C2"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本课题主要有三大研究目的。</w:t>
      </w:r>
    </w:p>
    <w:p w14:paraId="5D78F124"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首先，系统梳理两类广告视频的内容差异。当前国内相关研究多聚焦AIGC的技术应用与传播效果，针对广告视频内容结构、叙事形式、品牌呈现、情感表达等维度的对比分析较为零散。本研究通过规范的内容分析，总结两类广告的表达特征，为探索AIGC广告内容创作规律夯实实证基础。</w:t>
      </w:r>
    </w:p>
    <w:p w14:paraId="03C7DFDA"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其次，构建适配人机广告对比研究的分析框架。目前AI内容与人</w:t>
      </w:r>
      <w:proofErr w:type="gramStart"/>
      <w:r w:rsidRPr="001E4967">
        <w:rPr>
          <w:rFonts w:ascii="宋体" w:eastAsia="宋体" w:hAnsi="宋体"/>
          <w:sz w:val="21"/>
          <w:szCs w:val="21"/>
        </w:rPr>
        <w:t>创内容</w:t>
      </w:r>
      <w:proofErr w:type="gramEnd"/>
      <w:r w:rsidRPr="001E4967">
        <w:rPr>
          <w:rFonts w:ascii="宋体" w:eastAsia="宋体" w:hAnsi="宋体"/>
          <w:sz w:val="21"/>
          <w:szCs w:val="21"/>
        </w:rPr>
        <w:t>的对比研究仍处于探索阶段，广告视频领域尚未形成统一、成熟的分析维度与研究范式。本研究吸纳传统广告内容分析的理论与方法，结合AIGC内容生产的技术特性，搭建具备系统性与可操作性的分析体系，完善该领域研究规范。</w:t>
      </w:r>
    </w:p>
    <w:p w14:paraId="25E365A5"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最后，从生产机制层面解释差异成因。研究不止停留在现象描述，而是分别从两套创作逻辑展开溯源：结合创意思路、品牌规划、行业规范解读人工广告特征，依托大模型原理、技术能力边界、智能</w:t>
      </w:r>
      <w:proofErr w:type="gramStart"/>
      <w:r w:rsidRPr="001E4967">
        <w:rPr>
          <w:rFonts w:ascii="宋体" w:eastAsia="宋体" w:hAnsi="宋体"/>
          <w:sz w:val="21"/>
          <w:szCs w:val="21"/>
        </w:rPr>
        <w:t>体运行</w:t>
      </w:r>
      <w:proofErr w:type="gramEnd"/>
      <w:r w:rsidRPr="001E4967">
        <w:rPr>
          <w:rFonts w:ascii="宋体" w:eastAsia="宋体" w:hAnsi="宋体"/>
          <w:sz w:val="21"/>
          <w:szCs w:val="21"/>
        </w:rPr>
        <w:t>逻辑解析AIGC广告特点，推动相关研究从现象描述走向机制探究。</w:t>
      </w:r>
    </w:p>
    <w:p w14:paraId="1FBF2E4E" w14:textId="77777777" w:rsidR="00A8183B" w:rsidRPr="001E4967" w:rsidRDefault="00000000">
      <w:pPr>
        <w:pStyle w:val="2"/>
        <w:rPr>
          <w:rFonts w:ascii="宋体" w:eastAsia="宋体" w:hAnsi="宋体"/>
          <w:sz w:val="21"/>
          <w:szCs w:val="21"/>
        </w:rPr>
      </w:pPr>
      <w:bookmarkStart w:id="20" w:name="mq4z8runet2gyin0rdk"/>
      <w:r w:rsidRPr="001E4967">
        <w:rPr>
          <w:rFonts w:ascii="宋体" w:eastAsia="宋体" w:hAnsi="宋体"/>
          <w:sz w:val="21"/>
          <w:szCs w:val="21"/>
        </w:rPr>
        <w:t>（三）本课题研究的意义</w:t>
      </w:r>
      <w:bookmarkEnd w:id="20"/>
    </w:p>
    <w:p w14:paraId="04602521"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本课题兼具理论价值与实践价值。</w:t>
      </w:r>
    </w:p>
    <w:p w14:paraId="777D1EB4" w14:textId="77777777" w:rsidR="00A8183B" w:rsidRPr="001E4967" w:rsidRDefault="00000000" w:rsidP="001E4967">
      <w:pPr>
        <w:pStyle w:val="3"/>
        <w:ind w:firstLine="420"/>
        <w:rPr>
          <w:rFonts w:ascii="宋体" w:eastAsia="宋体" w:hAnsi="宋体"/>
          <w:sz w:val="21"/>
          <w:szCs w:val="21"/>
        </w:rPr>
      </w:pPr>
      <w:bookmarkStart w:id="21" w:name="mq4z8ruo7jx6x3puomb"/>
      <w:r w:rsidRPr="001E4967">
        <w:rPr>
          <w:rFonts w:ascii="宋体" w:eastAsia="宋体" w:hAnsi="宋体"/>
          <w:sz w:val="21"/>
          <w:szCs w:val="21"/>
        </w:rPr>
        <w:t>理论意义</w:t>
      </w:r>
      <w:bookmarkEnd w:id="21"/>
    </w:p>
    <w:p w14:paraId="160FD6AE"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第一，推动AIGC广告研究从工具应用层转向内容结构层。现有研究大多将AIGC视作降本增效的技术工具，忽视其作为全新内容生产模式的属性。本研究对比不同生产机制下的广告内容形态，丰富AIGC广告的研究视角。</w:t>
      </w:r>
    </w:p>
    <w:p w14:paraId="78AB8B47"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第二，推动研究从传播效果层转向生成逻辑层。广告传播效果的差异，根源往往在于内容本身。本研究以内容特征为切入点、以生成机制为落脚点，打通内容分析与效果研究的关联，补足现有研究的逻辑短板。</w:t>
      </w:r>
    </w:p>
    <w:p w14:paraId="680B1A3A" w14:textId="77777777" w:rsidR="00A8183B" w:rsidRPr="001E4967"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lastRenderedPageBreak/>
        <w:t>第三，拓展传播学与广告学的研究边界。AIGC带来了广告生产主体与创作逻辑的变革，本研究通过实证对比，回应数字时代内容生产模式转型带来的新问题，为“非人类主体参与内容生产”的相关理论探讨补充实证案例</w:t>
      </w:r>
      <w:r w:rsidRPr="001E4967">
        <w:rPr>
          <w:rFonts w:ascii="宋体" w:eastAsia="宋体" w:hAnsi="宋体"/>
          <w:sz w:val="21"/>
          <w:szCs w:val="21"/>
        </w:rPr>
        <w:t>。</w:t>
      </w:r>
    </w:p>
    <w:p w14:paraId="0CFA1198" w14:textId="77777777" w:rsidR="00A8183B" w:rsidRPr="001E4967" w:rsidRDefault="00000000" w:rsidP="001E4967">
      <w:pPr>
        <w:pStyle w:val="3"/>
        <w:ind w:firstLine="420"/>
        <w:rPr>
          <w:rFonts w:ascii="宋体" w:eastAsia="宋体" w:hAnsi="宋体"/>
          <w:sz w:val="21"/>
          <w:szCs w:val="21"/>
        </w:rPr>
      </w:pPr>
      <w:bookmarkStart w:id="22" w:name="mq4z8ruqr5k4biimrfq"/>
      <w:r w:rsidRPr="001E4967">
        <w:rPr>
          <w:rFonts w:ascii="宋体" w:eastAsia="宋体" w:hAnsi="宋体"/>
          <w:sz w:val="21"/>
          <w:szCs w:val="21"/>
        </w:rPr>
        <w:t>实践意义</w:t>
      </w:r>
      <w:bookmarkEnd w:id="22"/>
    </w:p>
    <w:p w14:paraId="7081A49F"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第一，为广告行业从业者提供参考依据。帮助品牌方、广告团队客观认知AIGC广告的优势与短板，理性看待技术价值，为广告创意策划、内容生产决策提供现实支撑。</w:t>
      </w:r>
    </w:p>
    <w:p w14:paraId="38954EA4"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第二，为人机协同创作提供思路。明确人工创作与AI创作各自的擅长领域，划分工作边界，指导行业合理分配创作环节，优化生产流程，提升人机协作效率。</w:t>
      </w:r>
    </w:p>
    <w:p w14:paraId="52F6AC30"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第三，助力AIGC广告行业规范化发展。针对AIGC广告普遍存在的模板化、叙事残缺、品牌表达偏差等问题提出参考建议，推动AIGC广告提升内容质量，实现良性发展。</w:t>
      </w:r>
    </w:p>
    <w:p w14:paraId="5C3899A2"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综上，本研究由表及里、层层递进，既对比内容表象，又深挖底层逻辑，力求在理论上深化AIGC广告相关研究，在实践中为广告行业人机协同创作提供可行的分析思路与落地参考。</w:t>
      </w:r>
    </w:p>
    <w:p w14:paraId="026AC0C9" w14:textId="77777777" w:rsidR="00A8183B" w:rsidRPr="001E4967" w:rsidRDefault="00A8183B">
      <w:pPr>
        <w:pStyle w:val="dingdocnormal"/>
        <w:rPr>
          <w:rFonts w:ascii="宋体" w:eastAsia="宋体" w:hAnsi="宋体"/>
          <w:sz w:val="21"/>
          <w:szCs w:val="21"/>
        </w:rPr>
      </w:pPr>
    </w:p>
    <w:p w14:paraId="547285D5" w14:textId="77777777" w:rsidR="00A8183B" w:rsidRPr="001E4967" w:rsidRDefault="00000000">
      <w:pPr>
        <w:pStyle w:val="2"/>
        <w:rPr>
          <w:rFonts w:ascii="宋体" w:eastAsia="宋体" w:hAnsi="宋体"/>
          <w:sz w:val="21"/>
          <w:szCs w:val="21"/>
        </w:rPr>
      </w:pPr>
      <w:bookmarkStart w:id="23" w:name="mq4zegg1pujce4a9hup"/>
      <w:r w:rsidRPr="001E4967">
        <w:rPr>
          <w:rFonts w:ascii="宋体" w:eastAsia="宋体" w:hAnsi="宋体"/>
          <w:sz w:val="21"/>
          <w:szCs w:val="21"/>
        </w:rPr>
        <w:t>四、已有实验条件及实验设计方案</w:t>
      </w:r>
      <w:bookmarkEnd w:id="23"/>
    </w:p>
    <w:p w14:paraId="488519AB" w14:textId="77777777" w:rsidR="00A8183B" w:rsidRPr="001E4967" w:rsidRDefault="00000000">
      <w:pPr>
        <w:pStyle w:val="3"/>
        <w:rPr>
          <w:rFonts w:ascii="宋体" w:eastAsia="宋体" w:hAnsi="宋体"/>
          <w:sz w:val="21"/>
          <w:szCs w:val="21"/>
        </w:rPr>
      </w:pPr>
      <w:bookmarkStart w:id="24" w:name="mq4zegg32qzwap7pemc"/>
      <w:r w:rsidRPr="001E4967">
        <w:rPr>
          <w:rFonts w:ascii="宋体" w:eastAsia="宋体" w:hAnsi="宋体"/>
          <w:sz w:val="21"/>
          <w:szCs w:val="21"/>
        </w:rPr>
        <w:t>（一）已有实验条件</w:t>
      </w:r>
      <w:bookmarkEnd w:id="24"/>
    </w:p>
    <w:p w14:paraId="35368512"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本课题开展具备充足的资料、理论、方法与实操条件，可支撑研究全程推进。</w:t>
      </w:r>
    </w:p>
    <w:p w14:paraId="079BD61D"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在样本获取层面，两类研究素材均可通过公开渠道正常收集。人工广告视频主要取自品牌官方账号、主流音视频平台、专业广告案例网站及行业公开资料；AIGC广告视频可从品牌发布案例、AI工具官方展示作品、行业报道与创作者公开内容中筛选。公开网络中相关素材存量充足、可见度高，为样本采集与对比分析筑牢基础。</w:t>
      </w:r>
    </w:p>
    <w:p w14:paraId="0071D075"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在文献支撑层面，本课题拥有成熟的理论研究体系。一方面，广告学、传播学领域已形成完善的广告内容分析范式，围绕广告诉求、叙事结构、人物塑造、品牌露出、情感表达、视听语言等方向积累了大量研究成果；另一方面，AIGC广告应用、人机内容对比、大模型生成机制、智能</w:t>
      </w:r>
      <w:proofErr w:type="gramStart"/>
      <w:r w:rsidRPr="00576DB9">
        <w:rPr>
          <w:rFonts w:ascii="宋体" w:eastAsia="宋体" w:hAnsi="宋体"/>
          <w:sz w:val="21"/>
          <w:szCs w:val="21"/>
        </w:rPr>
        <w:t>体工作</w:t>
      </w:r>
      <w:proofErr w:type="gramEnd"/>
      <w:r w:rsidRPr="00576DB9">
        <w:rPr>
          <w:rFonts w:ascii="宋体" w:eastAsia="宋体" w:hAnsi="宋体"/>
          <w:sz w:val="21"/>
          <w:szCs w:val="21"/>
        </w:rPr>
        <w:t>流与能力边界等相关研究，也为本课题提供了理论依据与解读思路，文献基础扎实。</w:t>
      </w:r>
    </w:p>
    <w:p w14:paraId="2956DBA4"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在研究方法层面，所选方法与研究目标高度适配。本研究核心是对比两类广告视频的内容结构与表达差异，内容分析法可完成标准化、结构化的横向对比；案例分析法能够对典型样本深度解读，强化差异逻辑的阐释力度。若后续资料条件允许，还可补充访谈、技术文档分析等方式，进一步丰富论证维度。</w:t>
      </w:r>
    </w:p>
    <w:p w14:paraId="0434F2D5" w14:textId="77777777" w:rsidR="00A8183B" w:rsidRPr="001E4967"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在实操可行性层面，本课题落地难度较低。首先，研究对象界定清晰，可明确划分人工广告与AIGC广告样本边界；其次，内容分析指标可在传统广告研究框架上优化调整，无需从零搭建体系；最后，针对AIGC生成逻辑、智能体能力</w:t>
      </w:r>
      <w:r w:rsidRPr="001E4967">
        <w:rPr>
          <w:rFonts w:ascii="宋体" w:eastAsia="宋体" w:hAnsi="宋体"/>
          <w:sz w:val="21"/>
          <w:szCs w:val="21"/>
        </w:rPr>
        <w:t>的解读，可依托公开技术文档、产品说明与现有研究开展机制分析。综合来看，课题整体具备完整的落地条件。</w:t>
      </w:r>
    </w:p>
    <w:p w14:paraId="7E548298" w14:textId="77777777" w:rsidR="00A8183B" w:rsidRPr="001E4967" w:rsidRDefault="00000000">
      <w:pPr>
        <w:pStyle w:val="3"/>
        <w:rPr>
          <w:rFonts w:ascii="宋体" w:eastAsia="宋体" w:hAnsi="宋体"/>
          <w:sz w:val="21"/>
          <w:szCs w:val="21"/>
        </w:rPr>
      </w:pPr>
      <w:bookmarkStart w:id="25" w:name="mq4zegg6nge482xmrv"/>
      <w:r w:rsidRPr="001E4967">
        <w:rPr>
          <w:rFonts w:ascii="宋体" w:eastAsia="宋体" w:hAnsi="宋体"/>
          <w:sz w:val="21"/>
          <w:szCs w:val="21"/>
        </w:rPr>
        <w:t>（二）研究思路与总体框架</w:t>
      </w:r>
      <w:bookmarkEnd w:id="25"/>
    </w:p>
    <w:p w14:paraId="0B230608"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本课题遵循</w:t>
      </w:r>
      <w:proofErr w:type="gramStart"/>
      <w:r w:rsidRPr="00576DB9">
        <w:rPr>
          <w:rFonts w:ascii="宋体" w:eastAsia="宋体" w:hAnsi="宋体"/>
          <w:sz w:val="21"/>
          <w:szCs w:val="21"/>
        </w:rPr>
        <w:t>先内容</w:t>
      </w:r>
      <w:proofErr w:type="gramEnd"/>
      <w:r w:rsidRPr="00576DB9">
        <w:rPr>
          <w:rFonts w:ascii="宋体" w:eastAsia="宋体" w:hAnsi="宋体"/>
          <w:sz w:val="21"/>
          <w:szCs w:val="21"/>
        </w:rPr>
        <w:t>比较、</w:t>
      </w:r>
      <w:proofErr w:type="gramStart"/>
      <w:r w:rsidRPr="00576DB9">
        <w:rPr>
          <w:rFonts w:ascii="宋体" w:eastAsia="宋体" w:hAnsi="宋体"/>
          <w:sz w:val="21"/>
          <w:szCs w:val="21"/>
        </w:rPr>
        <w:t>后机制</w:t>
      </w:r>
      <w:proofErr w:type="gramEnd"/>
      <w:r w:rsidRPr="00576DB9">
        <w:rPr>
          <w:rFonts w:ascii="宋体" w:eastAsia="宋体" w:hAnsi="宋体"/>
          <w:sz w:val="21"/>
          <w:szCs w:val="21"/>
        </w:rPr>
        <w:t>解释，以实证分析为主、理论解读为辅的核心思路。研究</w:t>
      </w:r>
      <w:proofErr w:type="gramStart"/>
      <w:r w:rsidRPr="00576DB9">
        <w:rPr>
          <w:rFonts w:ascii="宋体" w:eastAsia="宋体" w:hAnsi="宋体"/>
          <w:sz w:val="21"/>
          <w:szCs w:val="21"/>
        </w:rPr>
        <w:t>不</w:t>
      </w:r>
      <w:proofErr w:type="gramEnd"/>
      <w:r w:rsidRPr="00576DB9">
        <w:rPr>
          <w:rFonts w:ascii="宋体" w:eastAsia="宋体" w:hAnsi="宋体"/>
          <w:sz w:val="21"/>
          <w:szCs w:val="21"/>
        </w:rPr>
        <w:t>预先判定两类广告的优劣，而是将其视作不同生产机制下的传播产物，先系统梳理内容层面的差异化特征，再结合广告创作规律与AI生成原理溯源成因。</w:t>
      </w:r>
    </w:p>
    <w:p w14:paraId="59AB2610"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整体研究框架分为五大环节：第一，界定核心概念，明确人工广告视频与AIGC广告视频的操作定义，划定样本选取范围；第二，结合经典广告内容分析理论与本研究问题，搭建适配两类视频对比的编码体系；第三，完成样本整理、编码统计，归纳二者在广告诉求、叙事结构、品牌呈现、情感表达、视听风格等维度的差异；第四，选取典型样本开展案例细读，具象化呈现内容特征与区别；第五，</w:t>
      </w:r>
      <w:proofErr w:type="gramStart"/>
      <w:r w:rsidRPr="00576DB9">
        <w:rPr>
          <w:rFonts w:ascii="宋体" w:eastAsia="宋体" w:hAnsi="宋体"/>
          <w:sz w:val="21"/>
          <w:szCs w:val="21"/>
        </w:rPr>
        <w:t>构建双</w:t>
      </w:r>
      <w:proofErr w:type="gramEnd"/>
      <w:r w:rsidRPr="00576DB9">
        <w:rPr>
          <w:rFonts w:ascii="宋体" w:eastAsia="宋体" w:hAnsi="宋体"/>
          <w:sz w:val="21"/>
          <w:szCs w:val="21"/>
        </w:rPr>
        <w:t>路径解释框架，分别从人类广告创作实践逻辑、大模型生成机制及智能体能力边界，解读差异形成原因。</w:t>
      </w:r>
    </w:p>
    <w:p w14:paraId="15E026C1" w14:textId="77777777" w:rsidR="00A8183B" w:rsidRPr="001E4967" w:rsidRDefault="00000000">
      <w:pPr>
        <w:pStyle w:val="dingdocnormal"/>
        <w:rPr>
          <w:rFonts w:ascii="宋体" w:eastAsia="宋体" w:hAnsi="宋体"/>
          <w:sz w:val="21"/>
          <w:szCs w:val="21"/>
        </w:rPr>
      </w:pPr>
      <w:r w:rsidRPr="00576DB9">
        <w:rPr>
          <w:rFonts w:ascii="宋体" w:eastAsia="宋体" w:hAnsi="宋体"/>
          <w:sz w:val="21"/>
          <w:szCs w:val="21"/>
        </w:rPr>
        <w:t>本研究坚持由现象到本质的分析路径，而非预设结论再寻找案例佐证</w:t>
      </w:r>
      <w:r w:rsidRPr="001E4967">
        <w:rPr>
          <w:rFonts w:ascii="宋体" w:eastAsia="宋体" w:hAnsi="宋体"/>
          <w:sz w:val="21"/>
          <w:szCs w:val="21"/>
        </w:rPr>
        <w:t>，能够有效规避主观预判，提升研究结论的客观性与说服力。</w:t>
      </w:r>
    </w:p>
    <w:p w14:paraId="533B8604" w14:textId="77777777" w:rsidR="00A8183B" w:rsidRPr="001E4967" w:rsidRDefault="00000000">
      <w:pPr>
        <w:pStyle w:val="3"/>
        <w:rPr>
          <w:rFonts w:ascii="宋体" w:eastAsia="宋体" w:hAnsi="宋体"/>
          <w:sz w:val="21"/>
          <w:szCs w:val="21"/>
        </w:rPr>
      </w:pPr>
      <w:bookmarkStart w:id="26" w:name="mq4zegg8tictvumqwf"/>
      <w:r w:rsidRPr="001E4967">
        <w:rPr>
          <w:rFonts w:ascii="宋体" w:eastAsia="宋体" w:hAnsi="宋体"/>
          <w:sz w:val="21"/>
          <w:szCs w:val="21"/>
        </w:rPr>
        <w:t>（三）研究对象与样本设计</w:t>
      </w:r>
      <w:bookmarkEnd w:id="26"/>
    </w:p>
    <w:p w14:paraId="2D91215E"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本课题以公开发布的品牌类视频广告为核心研究对象，在概念界定、样本来源、筛选规则、分类标准上严格把控，保障组间可比性。</w:t>
      </w:r>
    </w:p>
    <w:p w14:paraId="33B9EBCA" w14:textId="77777777" w:rsidR="00A8183B" w:rsidRPr="001E4967" w:rsidRDefault="00000000">
      <w:pPr>
        <w:pStyle w:val="4"/>
        <w:rPr>
          <w:rFonts w:ascii="宋体" w:eastAsia="宋体" w:hAnsi="宋体"/>
          <w:sz w:val="21"/>
          <w:szCs w:val="21"/>
        </w:rPr>
      </w:pPr>
      <w:bookmarkStart w:id="27" w:name="mq4zegg90cnmnfms4idr"/>
      <w:r w:rsidRPr="001E4967">
        <w:rPr>
          <w:rFonts w:ascii="宋体" w:eastAsia="宋体" w:hAnsi="宋体"/>
          <w:sz w:val="21"/>
          <w:szCs w:val="21"/>
        </w:rPr>
        <w:t>1. 概念界定</w:t>
      </w:r>
      <w:bookmarkEnd w:id="27"/>
    </w:p>
    <w:p w14:paraId="7E9779A6" w14:textId="77777777" w:rsidR="00A8183B" w:rsidRPr="001E4967" w:rsidRDefault="00000000" w:rsidP="001E4967">
      <w:pPr>
        <w:pStyle w:val="dingdocnormal"/>
        <w:ind w:left="420"/>
        <w:rPr>
          <w:rFonts w:ascii="宋体" w:eastAsia="宋体" w:hAnsi="宋体"/>
          <w:sz w:val="21"/>
          <w:szCs w:val="21"/>
        </w:rPr>
      </w:pPr>
      <w:r w:rsidRPr="001E4967">
        <w:rPr>
          <w:rFonts w:ascii="宋体" w:eastAsia="宋体" w:hAnsi="宋体"/>
          <w:b/>
          <w:sz w:val="21"/>
          <w:szCs w:val="21"/>
        </w:rPr>
        <w:t>人工生成广告视频</w:t>
      </w:r>
      <w:r w:rsidRPr="001E4967">
        <w:rPr>
          <w:rFonts w:ascii="宋体" w:eastAsia="宋体" w:hAnsi="宋体"/>
          <w:sz w:val="21"/>
          <w:szCs w:val="21"/>
        </w:rPr>
        <w:t>：选题策划、脚本创作、画面拍摄、后期剪辑、创意统筹等核心环节，均以人类创作者为主导完成的视频广告。</w:t>
      </w:r>
      <w:r w:rsidRPr="001E4967">
        <w:rPr>
          <w:rFonts w:ascii="宋体" w:eastAsia="宋体" w:hAnsi="宋体"/>
          <w:sz w:val="21"/>
          <w:szCs w:val="21"/>
        </w:rPr>
        <w:br/>
      </w:r>
      <w:r w:rsidRPr="001E4967">
        <w:rPr>
          <w:rFonts w:ascii="宋体" w:eastAsia="宋体" w:hAnsi="宋体"/>
          <w:b/>
          <w:sz w:val="21"/>
          <w:szCs w:val="21"/>
        </w:rPr>
        <w:t>AIGC生成广告视频</w:t>
      </w:r>
      <w:r w:rsidRPr="001E4967">
        <w:rPr>
          <w:rFonts w:ascii="宋体" w:eastAsia="宋体" w:hAnsi="宋体"/>
          <w:sz w:val="21"/>
          <w:szCs w:val="21"/>
        </w:rPr>
        <w:t>：脚本、画面、配音、剪辑或整体</w:t>
      </w:r>
      <w:proofErr w:type="gramStart"/>
      <w:r w:rsidRPr="001E4967">
        <w:rPr>
          <w:rFonts w:ascii="宋体" w:eastAsia="宋体" w:hAnsi="宋体"/>
          <w:sz w:val="21"/>
          <w:szCs w:val="21"/>
        </w:rPr>
        <w:t>成片等</w:t>
      </w:r>
      <w:proofErr w:type="gramEnd"/>
      <w:r w:rsidRPr="001E4967">
        <w:rPr>
          <w:rFonts w:ascii="宋体" w:eastAsia="宋体" w:hAnsi="宋体"/>
          <w:sz w:val="21"/>
          <w:szCs w:val="21"/>
        </w:rPr>
        <w:t>关键环节中，生成式人工智能发挥主导作用，并对</w:t>
      </w:r>
      <w:proofErr w:type="gramStart"/>
      <w:r w:rsidRPr="001E4967">
        <w:rPr>
          <w:rFonts w:ascii="宋体" w:eastAsia="宋体" w:hAnsi="宋体"/>
          <w:sz w:val="21"/>
          <w:szCs w:val="21"/>
        </w:rPr>
        <w:t>最终内</w:t>
      </w:r>
      <w:r w:rsidRPr="001E4967">
        <w:rPr>
          <w:rFonts w:ascii="宋体" w:eastAsia="宋体" w:hAnsi="宋体"/>
          <w:sz w:val="21"/>
          <w:szCs w:val="21"/>
        </w:rPr>
        <w:lastRenderedPageBreak/>
        <w:t>容</w:t>
      </w:r>
      <w:proofErr w:type="gramEnd"/>
      <w:r w:rsidRPr="001E4967">
        <w:rPr>
          <w:rFonts w:ascii="宋体" w:eastAsia="宋体" w:hAnsi="宋体"/>
          <w:sz w:val="21"/>
          <w:szCs w:val="21"/>
        </w:rPr>
        <w:t>形态产生显著影响的视频广告。</w:t>
      </w:r>
      <w:r w:rsidRPr="001E4967">
        <w:rPr>
          <w:rFonts w:ascii="宋体" w:eastAsia="宋体" w:hAnsi="宋体"/>
          <w:sz w:val="21"/>
          <w:szCs w:val="21"/>
        </w:rPr>
        <w:br/>
        <w:t>针对行业普遍存在的人机协同创作现状，本研究不以“AI完全独立制作”作为判定标准，重点考察AI在</w:t>
      </w:r>
      <w:r w:rsidRPr="001E4967">
        <w:rPr>
          <w:rFonts w:ascii="宋体" w:eastAsia="宋体" w:hAnsi="宋体"/>
          <w:b/>
          <w:sz w:val="21"/>
          <w:szCs w:val="21"/>
        </w:rPr>
        <w:t>核心生产环节</w:t>
      </w:r>
      <w:r w:rsidRPr="001E4967">
        <w:rPr>
          <w:rFonts w:ascii="宋体" w:eastAsia="宋体" w:hAnsi="宋体"/>
          <w:sz w:val="21"/>
          <w:szCs w:val="21"/>
        </w:rPr>
        <w:t>的参与度与主导性。</w:t>
      </w:r>
    </w:p>
    <w:p w14:paraId="1422CA45" w14:textId="77777777" w:rsidR="00A8183B" w:rsidRPr="001E4967" w:rsidRDefault="00000000">
      <w:pPr>
        <w:pStyle w:val="4"/>
        <w:rPr>
          <w:rFonts w:ascii="宋体" w:eastAsia="宋体" w:hAnsi="宋体"/>
          <w:sz w:val="21"/>
          <w:szCs w:val="21"/>
        </w:rPr>
      </w:pPr>
      <w:bookmarkStart w:id="28" w:name="mq4zeggal1abagh8bea"/>
      <w:r w:rsidRPr="001E4967">
        <w:rPr>
          <w:rFonts w:ascii="宋体" w:eastAsia="宋体" w:hAnsi="宋体"/>
          <w:sz w:val="21"/>
          <w:szCs w:val="21"/>
        </w:rPr>
        <w:t>2. 样本来源</w:t>
      </w:r>
      <w:bookmarkEnd w:id="28"/>
    </w:p>
    <w:p w14:paraId="15B68160"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多渠道采集样本，兼顾丰富性与可验证性：品牌官方发布渠道、主流短视频及社交平台、专业广告案例网站与行业媒体、AIGC视频工具及机构公开案例。</w:t>
      </w:r>
    </w:p>
    <w:p w14:paraId="158DFE38" w14:textId="77777777" w:rsidR="00A8183B" w:rsidRPr="001E4967" w:rsidRDefault="00000000">
      <w:pPr>
        <w:pStyle w:val="4"/>
        <w:rPr>
          <w:rFonts w:ascii="宋体" w:eastAsia="宋体" w:hAnsi="宋体"/>
          <w:sz w:val="21"/>
          <w:szCs w:val="21"/>
        </w:rPr>
      </w:pPr>
      <w:bookmarkStart w:id="29" w:name="mq4zeggbe883bl36wg4"/>
      <w:r w:rsidRPr="001E4967">
        <w:rPr>
          <w:rFonts w:ascii="宋体" w:eastAsia="宋体" w:hAnsi="宋体"/>
          <w:sz w:val="21"/>
          <w:szCs w:val="21"/>
        </w:rPr>
        <w:t>3. 筛选标准</w:t>
      </w:r>
      <w:bookmarkEnd w:id="29"/>
    </w:p>
    <w:p w14:paraId="035E629E" w14:textId="0CECBFFB"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为减少无关变量干扰，统一控制四项条件：一是限定内容类型，仅选取品牌属性明确的广告视频，剔除娱乐短视频、技术演示类内容；二是统一传播场景，优先选取投放语境相近的样本；三是规范内容形态与时长，排除超长纪录片、静态图片拼接视频；四是匹配行业与平台，尽量从同品类、</w:t>
      </w:r>
      <w:proofErr w:type="gramStart"/>
      <w:r w:rsidRPr="001E4967">
        <w:rPr>
          <w:rFonts w:ascii="宋体" w:eastAsia="宋体" w:hAnsi="宋体"/>
          <w:sz w:val="21"/>
          <w:szCs w:val="21"/>
        </w:rPr>
        <w:t>同传播</w:t>
      </w:r>
      <w:proofErr w:type="gramEnd"/>
      <w:r w:rsidRPr="001E4967">
        <w:rPr>
          <w:rFonts w:ascii="宋体" w:eastAsia="宋体" w:hAnsi="宋体"/>
          <w:sz w:val="21"/>
          <w:szCs w:val="21"/>
        </w:rPr>
        <w:t>渠道选取两组样本，强化对比有效性。</w:t>
      </w:r>
    </w:p>
    <w:p w14:paraId="56FA0AAF" w14:textId="77777777" w:rsidR="00A8183B" w:rsidRPr="001E4967" w:rsidRDefault="00000000">
      <w:pPr>
        <w:pStyle w:val="4"/>
        <w:rPr>
          <w:rFonts w:ascii="宋体" w:eastAsia="宋体" w:hAnsi="宋体"/>
          <w:sz w:val="21"/>
          <w:szCs w:val="21"/>
        </w:rPr>
      </w:pPr>
      <w:bookmarkStart w:id="30" w:name="mq4zeggceafb5i84a5s"/>
      <w:r w:rsidRPr="001E4967">
        <w:rPr>
          <w:rFonts w:ascii="宋体" w:eastAsia="宋体" w:hAnsi="宋体"/>
          <w:sz w:val="21"/>
          <w:szCs w:val="21"/>
        </w:rPr>
        <w:t>4. 样本分类原则</w:t>
      </w:r>
      <w:bookmarkEnd w:id="30"/>
    </w:p>
    <w:p w14:paraId="5178B9C2"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重点甄别AIGC广告边界：仅用AI辅助文案、修图等局部工作，整体创意与</w:t>
      </w:r>
      <w:proofErr w:type="gramStart"/>
      <w:r w:rsidRPr="001E4967">
        <w:rPr>
          <w:rFonts w:ascii="宋体" w:eastAsia="宋体" w:hAnsi="宋体"/>
          <w:sz w:val="21"/>
          <w:szCs w:val="21"/>
        </w:rPr>
        <w:t>成片由</w:t>
      </w:r>
      <w:proofErr w:type="gramEnd"/>
      <w:r w:rsidRPr="001E4967">
        <w:rPr>
          <w:rFonts w:ascii="宋体" w:eastAsia="宋体" w:hAnsi="宋体"/>
          <w:sz w:val="21"/>
          <w:szCs w:val="21"/>
        </w:rPr>
        <w:t>人工主导的作品，不划入AIGC广告样本。样本分类综合四项依据：发布方标注信息、行业报道披露的制作流程、视频本身的AI生成特征、创作者公开的技术说明。对界定模糊、佐证不足的样本予以剔除，</w:t>
      </w:r>
      <w:proofErr w:type="gramStart"/>
      <w:r w:rsidRPr="001E4967">
        <w:rPr>
          <w:rFonts w:ascii="宋体" w:eastAsia="宋体" w:hAnsi="宋体"/>
          <w:sz w:val="21"/>
          <w:szCs w:val="21"/>
        </w:rPr>
        <w:t>坚持</w:t>
      </w:r>
      <w:r w:rsidRPr="001E4967">
        <w:rPr>
          <w:rFonts w:ascii="宋体" w:eastAsia="宋体" w:hAnsi="宋体"/>
          <w:b/>
          <w:sz w:val="21"/>
          <w:szCs w:val="21"/>
        </w:rPr>
        <w:t>宁缩边界</w:t>
      </w:r>
      <w:proofErr w:type="gramEnd"/>
      <w:r w:rsidRPr="001E4967">
        <w:rPr>
          <w:rFonts w:ascii="宋体" w:eastAsia="宋体" w:hAnsi="宋体"/>
          <w:b/>
          <w:sz w:val="21"/>
          <w:szCs w:val="21"/>
        </w:rPr>
        <w:t>、不降质量</w:t>
      </w:r>
      <w:r w:rsidRPr="001E4967">
        <w:rPr>
          <w:rFonts w:ascii="宋体" w:eastAsia="宋体" w:hAnsi="宋体"/>
          <w:sz w:val="21"/>
          <w:szCs w:val="21"/>
        </w:rPr>
        <w:t>的原则，确保两组样本具备高度可比性。</w:t>
      </w:r>
    </w:p>
    <w:p w14:paraId="1F7B2DAE" w14:textId="77777777" w:rsidR="00A8183B" w:rsidRPr="001E4967" w:rsidRDefault="00000000">
      <w:pPr>
        <w:pStyle w:val="3"/>
        <w:rPr>
          <w:rFonts w:ascii="宋体" w:eastAsia="宋体" w:hAnsi="宋体"/>
          <w:sz w:val="21"/>
          <w:szCs w:val="21"/>
        </w:rPr>
      </w:pPr>
      <w:bookmarkStart w:id="31" w:name="mq4zeggdr0qfil8fzxa"/>
      <w:r w:rsidRPr="001E4967">
        <w:rPr>
          <w:rFonts w:ascii="宋体" w:eastAsia="宋体" w:hAnsi="宋体"/>
          <w:sz w:val="21"/>
          <w:szCs w:val="21"/>
        </w:rPr>
        <w:t>（四）研究方法</w:t>
      </w:r>
      <w:bookmarkEnd w:id="31"/>
    </w:p>
    <w:p w14:paraId="53943CC2"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本研究综合采用多种研究方法，分工实现“识别差异”与“解释差异”两大目标，方法体系主次分明、互为补充。</w:t>
      </w:r>
    </w:p>
    <w:p w14:paraId="78EBC26E" w14:textId="77777777" w:rsidR="00A8183B" w:rsidRPr="001E4967" w:rsidRDefault="00000000">
      <w:pPr>
        <w:pStyle w:val="dingdocnormal"/>
        <w:numPr>
          <w:ilvl w:val="0"/>
          <w:numId w:val="2"/>
        </w:numPr>
        <w:rPr>
          <w:rFonts w:ascii="宋体" w:eastAsia="宋体" w:hAnsi="宋体"/>
          <w:sz w:val="21"/>
          <w:szCs w:val="21"/>
        </w:rPr>
      </w:pPr>
      <w:r w:rsidRPr="001E4967">
        <w:rPr>
          <w:rFonts w:ascii="宋体" w:eastAsia="宋体" w:hAnsi="宋体"/>
          <w:b/>
          <w:sz w:val="21"/>
          <w:szCs w:val="21"/>
        </w:rPr>
        <w:t>内容分析法（核心方法）</w:t>
      </w:r>
      <w:r w:rsidRPr="001E4967">
        <w:rPr>
          <w:rFonts w:ascii="宋体" w:eastAsia="宋体" w:hAnsi="宋体"/>
          <w:sz w:val="21"/>
          <w:szCs w:val="21"/>
        </w:rPr>
        <w:t>：通过标准化编码与分类统计，对样本的广告诉求、叙事方式、人物设置、品牌呈现、情感表达、视听风格进行量化对比，摆脱主观印象判断，让差异分析建立在规范化、可归纳的实证基础之上。</w:t>
      </w:r>
    </w:p>
    <w:p w14:paraId="078EDBA4" w14:textId="77777777" w:rsidR="00A8183B" w:rsidRPr="001E4967" w:rsidRDefault="00000000">
      <w:pPr>
        <w:pStyle w:val="dingdocnormal"/>
        <w:numPr>
          <w:ilvl w:val="0"/>
          <w:numId w:val="2"/>
        </w:numPr>
        <w:rPr>
          <w:rFonts w:ascii="宋体" w:eastAsia="宋体" w:hAnsi="宋体"/>
          <w:sz w:val="21"/>
          <w:szCs w:val="21"/>
        </w:rPr>
      </w:pPr>
      <w:r w:rsidRPr="001E4967">
        <w:rPr>
          <w:rFonts w:ascii="宋体" w:eastAsia="宋体" w:hAnsi="宋体"/>
          <w:b/>
          <w:sz w:val="21"/>
          <w:szCs w:val="21"/>
        </w:rPr>
        <w:t>案例分析法</w:t>
      </w:r>
      <w:r w:rsidRPr="001E4967">
        <w:rPr>
          <w:rFonts w:ascii="宋体" w:eastAsia="宋体" w:hAnsi="宋体"/>
          <w:sz w:val="21"/>
          <w:szCs w:val="21"/>
        </w:rPr>
        <w:t>：在整体编码统计完成后，选取代表性样本深度解读，细化分析作品的叙事逻辑、镜头语言、品牌表达与情感构建，弥补量化分析偏抽象的不足，为机制解释提供细节支撑。</w:t>
      </w:r>
    </w:p>
    <w:p w14:paraId="0E8CE8CA" w14:textId="77777777" w:rsidR="00A8183B" w:rsidRPr="001E4967" w:rsidRDefault="00000000">
      <w:pPr>
        <w:pStyle w:val="dingdocnormal"/>
        <w:numPr>
          <w:ilvl w:val="0"/>
          <w:numId w:val="2"/>
        </w:numPr>
        <w:rPr>
          <w:rFonts w:ascii="宋体" w:eastAsia="宋体" w:hAnsi="宋体"/>
          <w:sz w:val="21"/>
          <w:szCs w:val="21"/>
        </w:rPr>
      </w:pPr>
      <w:r w:rsidRPr="001E4967">
        <w:rPr>
          <w:rFonts w:ascii="宋体" w:eastAsia="宋体" w:hAnsi="宋体"/>
          <w:b/>
          <w:sz w:val="21"/>
          <w:szCs w:val="21"/>
        </w:rPr>
        <w:t>文献与技术资料分析法</w:t>
      </w:r>
      <w:r w:rsidRPr="001E4967">
        <w:rPr>
          <w:rFonts w:ascii="宋体" w:eastAsia="宋体" w:hAnsi="宋体"/>
          <w:sz w:val="21"/>
          <w:szCs w:val="21"/>
        </w:rPr>
        <w:t>：梳理大模型运行原理、多模态能力、智能</w:t>
      </w:r>
      <w:proofErr w:type="gramStart"/>
      <w:r w:rsidRPr="001E4967">
        <w:rPr>
          <w:rFonts w:ascii="宋体" w:eastAsia="宋体" w:hAnsi="宋体"/>
          <w:sz w:val="21"/>
          <w:szCs w:val="21"/>
        </w:rPr>
        <w:t>体工作</w:t>
      </w:r>
      <w:proofErr w:type="gramEnd"/>
      <w:r w:rsidRPr="001E4967">
        <w:rPr>
          <w:rFonts w:ascii="宋体" w:eastAsia="宋体" w:hAnsi="宋体"/>
          <w:sz w:val="21"/>
          <w:szCs w:val="21"/>
        </w:rPr>
        <w:t>流程等公开文献、产品文档与技术资料，为解读AIGC广告内容特征的生成逻辑提供理论支撑。该方法仅作为解释依据，不替代核心的内容分析。</w:t>
      </w:r>
    </w:p>
    <w:p w14:paraId="4ECB486D" w14:textId="77777777" w:rsidR="00A8183B" w:rsidRPr="001E4967" w:rsidRDefault="00000000">
      <w:pPr>
        <w:pStyle w:val="3"/>
        <w:rPr>
          <w:rFonts w:ascii="宋体" w:eastAsia="宋体" w:hAnsi="宋体"/>
          <w:sz w:val="21"/>
          <w:szCs w:val="21"/>
        </w:rPr>
      </w:pPr>
      <w:bookmarkStart w:id="32" w:name="mq4zeggg7saf6forms4"/>
      <w:r w:rsidRPr="001E4967">
        <w:rPr>
          <w:rFonts w:ascii="宋体" w:eastAsia="宋体" w:hAnsi="宋体"/>
          <w:sz w:val="21"/>
          <w:szCs w:val="21"/>
        </w:rPr>
        <w:t>（五）编码维度与操作化方案</w:t>
      </w:r>
      <w:bookmarkEnd w:id="32"/>
    </w:p>
    <w:p w14:paraId="67A65C88"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结合传统广告分析框架与AIGC视频广告的独有特征，初步设置七大核心编码维度，后续将结合样本与文献继续细化编码规则、判定标准，正式研究前开展预编码，持续优化维度设置。</w:t>
      </w:r>
    </w:p>
    <w:p w14:paraId="7438AC90" w14:textId="77777777" w:rsidR="00A8183B" w:rsidRPr="001E4967" w:rsidRDefault="00000000">
      <w:pPr>
        <w:pStyle w:val="dingdocnormal"/>
        <w:numPr>
          <w:ilvl w:val="0"/>
          <w:numId w:val="1"/>
        </w:numPr>
        <w:rPr>
          <w:rFonts w:ascii="宋体" w:eastAsia="宋体" w:hAnsi="宋体"/>
          <w:sz w:val="21"/>
          <w:szCs w:val="21"/>
        </w:rPr>
      </w:pPr>
      <w:r w:rsidRPr="001E4967">
        <w:rPr>
          <w:rFonts w:ascii="宋体" w:eastAsia="宋体" w:hAnsi="宋体"/>
          <w:b/>
          <w:sz w:val="21"/>
          <w:szCs w:val="21"/>
        </w:rPr>
        <w:t>广告诉求方式</w:t>
      </w:r>
      <w:r w:rsidRPr="001E4967">
        <w:rPr>
          <w:rFonts w:ascii="宋体" w:eastAsia="宋体" w:hAnsi="宋体"/>
          <w:sz w:val="21"/>
          <w:szCs w:val="21"/>
        </w:rPr>
        <w:t>：区分理性诉求、情感诉求、情理结合诉求，对比两类广告在产品功能、品牌理念、生活方式、情绪引导等说服策略上的差异。</w:t>
      </w:r>
    </w:p>
    <w:p w14:paraId="3D410460" w14:textId="77777777" w:rsidR="00A8183B" w:rsidRPr="001E4967" w:rsidRDefault="00000000">
      <w:pPr>
        <w:pStyle w:val="dingdocnormal"/>
        <w:numPr>
          <w:ilvl w:val="0"/>
          <w:numId w:val="1"/>
        </w:numPr>
        <w:rPr>
          <w:rFonts w:ascii="宋体" w:eastAsia="宋体" w:hAnsi="宋体"/>
          <w:sz w:val="21"/>
          <w:szCs w:val="21"/>
        </w:rPr>
      </w:pPr>
      <w:r w:rsidRPr="001E4967">
        <w:rPr>
          <w:rFonts w:ascii="宋体" w:eastAsia="宋体" w:hAnsi="宋体"/>
          <w:b/>
          <w:sz w:val="21"/>
          <w:szCs w:val="21"/>
        </w:rPr>
        <w:t>叙事结构</w:t>
      </w:r>
      <w:r w:rsidRPr="001E4967">
        <w:rPr>
          <w:rFonts w:ascii="宋体" w:eastAsia="宋体" w:hAnsi="宋体"/>
          <w:sz w:val="21"/>
          <w:szCs w:val="21"/>
        </w:rPr>
        <w:t>：划分完整故事线、问题解决式、场景展示式、拼贴式等结构类型，分析内容推进逻辑，对比叙事完整性、模板化拼接等特征差异。</w:t>
      </w:r>
    </w:p>
    <w:p w14:paraId="0251BEA8" w14:textId="77777777" w:rsidR="00A8183B" w:rsidRPr="001E4967" w:rsidRDefault="00000000">
      <w:pPr>
        <w:pStyle w:val="dingdocnormal"/>
        <w:numPr>
          <w:ilvl w:val="0"/>
          <w:numId w:val="1"/>
        </w:numPr>
        <w:rPr>
          <w:rFonts w:ascii="宋体" w:eastAsia="宋体" w:hAnsi="宋体"/>
          <w:sz w:val="21"/>
          <w:szCs w:val="21"/>
        </w:rPr>
      </w:pPr>
      <w:r w:rsidRPr="001E4967">
        <w:rPr>
          <w:rFonts w:ascii="宋体" w:eastAsia="宋体" w:hAnsi="宋体"/>
          <w:b/>
          <w:sz w:val="21"/>
          <w:szCs w:val="21"/>
        </w:rPr>
        <w:t>人物设置</w:t>
      </w:r>
      <w:r w:rsidRPr="001E4967">
        <w:rPr>
          <w:rFonts w:ascii="宋体" w:eastAsia="宋体" w:hAnsi="宋体"/>
          <w:sz w:val="21"/>
          <w:szCs w:val="21"/>
        </w:rPr>
        <w:t>：统计真人角色、虚拟角色、无人物叙事三类形式，分析人物形象稳定性、角色功能、情感承载方式，</w:t>
      </w:r>
      <w:proofErr w:type="gramStart"/>
      <w:r w:rsidRPr="001E4967">
        <w:rPr>
          <w:rFonts w:ascii="宋体" w:eastAsia="宋体" w:hAnsi="宋体"/>
          <w:sz w:val="21"/>
          <w:szCs w:val="21"/>
        </w:rPr>
        <w:t>对比受</w:t>
      </w:r>
      <w:proofErr w:type="gramEnd"/>
      <w:r w:rsidRPr="001E4967">
        <w:rPr>
          <w:rFonts w:ascii="宋体" w:eastAsia="宋体" w:hAnsi="宋体"/>
          <w:sz w:val="21"/>
          <w:szCs w:val="21"/>
        </w:rPr>
        <w:t>众代入形式的区别。</w:t>
      </w:r>
    </w:p>
    <w:p w14:paraId="150BD61A" w14:textId="77777777" w:rsidR="00A8183B" w:rsidRPr="001E4967" w:rsidRDefault="00000000">
      <w:pPr>
        <w:pStyle w:val="dingdocnormal"/>
        <w:numPr>
          <w:ilvl w:val="0"/>
          <w:numId w:val="1"/>
        </w:numPr>
        <w:rPr>
          <w:rFonts w:ascii="宋体" w:eastAsia="宋体" w:hAnsi="宋体"/>
          <w:sz w:val="21"/>
          <w:szCs w:val="21"/>
        </w:rPr>
      </w:pPr>
      <w:r w:rsidRPr="001E4967">
        <w:rPr>
          <w:rFonts w:ascii="宋体" w:eastAsia="宋体" w:hAnsi="宋体"/>
          <w:b/>
          <w:sz w:val="21"/>
          <w:szCs w:val="21"/>
        </w:rPr>
        <w:t>品牌呈现方式</w:t>
      </w:r>
      <w:r w:rsidRPr="001E4967">
        <w:rPr>
          <w:rFonts w:ascii="宋体" w:eastAsia="宋体" w:hAnsi="宋体"/>
          <w:sz w:val="21"/>
          <w:szCs w:val="21"/>
        </w:rPr>
        <w:t>：统计品牌露出位置、频次、形式，分析品牌信息与视频情节、画面的融合度，区分硬性展示与软性植入两种表达策略。</w:t>
      </w:r>
    </w:p>
    <w:p w14:paraId="0221573A" w14:textId="77777777" w:rsidR="00A8183B" w:rsidRPr="001E4967" w:rsidRDefault="00000000">
      <w:pPr>
        <w:pStyle w:val="dingdocnormal"/>
        <w:numPr>
          <w:ilvl w:val="0"/>
          <w:numId w:val="1"/>
        </w:numPr>
        <w:rPr>
          <w:rFonts w:ascii="宋体" w:eastAsia="宋体" w:hAnsi="宋体"/>
          <w:sz w:val="21"/>
          <w:szCs w:val="21"/>
        </w:rPr>
      </w:pPr>
      <w:r w:rsidRPr="001E4967">
        <w:rPr>
          <w:rFonts w:ascii="宋体" w:eastAsia="宋体" w:hAnsi="宋体"/>
          <w:b/>
          <w:sz w:val="21"/>
          <w:szCs w:val="21"/>
        </w:rPr>
        <w:t>情感表达与氛围建构</w:t>
      </w:r>
      <w:r w:rsidRPr="001E4967">
        <w:rPr>
          <w:rFonts w:ascii="宋体" w:eastAsia="宋体" w:hAnsi="宋体"/>
          <w:sz w:val="21"/>
          <w:szCs w:val="21"/>
        </w:rPr>
        <w:t>：界定情绪基调、情感推进节奏、渲染强度，分析情绪表达的连贯性与细腻度，对比两类广告在品牌情感联结塑造上的表现。</w:t>
      </w:r>
    </w:p>
    <w:p w14:paraId="541C03E4" w14:textId="77777777" w:rsidR="00A8183B" w:rsidRPr="001E4967" w:rsidRDefault="00000000">
      <w:pPr>
        <w:pStyle w:val="dingdocnormal"/>
        <w:numPr>
          <w:ilvl w:val="0"/>
          <w:numId w:val="1"/>
        </w:numPr>
        <w:rPr>
          <w:rFonts w:ascii="宋体" w:eastAsia="宋体" w:hAnsi="宋体"/>
          <w:sz w:val="21"/>
          <w:szCs w:val="21"/>
        </w:rPr>
      </w:pPr>
      <w:r w:rsidRPr="001E4967">
        <w:rPr>
          <w:rFonts w:ascii="宋体" w:eastAsia="宋体" w:hAnsi="宋体"/>
          <w:b/>
          <w:sz w:val="21"/>
          <w:szCs w:val="21"/>
        </w:rPr>
        <w:t>视听风格</w:t>
      </w:r>
      <w:r w:rsidRPr="001E4967">
        <w:rPr>
          <w:rFonts w:ascii="宋体" w:eastAsia="宋体" w:hAnsi="宋体"/>
          <w:sz w:val="21"/>
          <w:szCs w:val="21"/>
        </w:rPr>
        <w:t>：围绕镜头节奏、画面构图、色彩搭配、字幕、配乐配音展开分析，识别AI生成内容的技术痕迹与风格趋同问题。</w:t>
      </w:r>
    </w:p>
    <w:p w14:paraId="51CE2808" w14:textId="77777777" w:rsidR="00A8183B" w:rsidRPr="001E4967" w:rsidRDefault="00000000">
      <w:pPr>
        <w:pStyle w:val="dingdocnormal"/>
        <w:numPr>
          <w:ilvl w:val="0"/>
          <w:numId w:val="1"/>
        </w:numPr>
        <w:rPr>
          <w:rFonts w:ascii="宋体" w:eastAsia="宋体" w:hAnsi="宋体"/>
          <w:sz w:val="21"/>
          <w:szCs w:val="21"/>
        </w:rPr>
      </w:pPr>
      <w:r w:rsidRPr="001E4967">
        <w:rPr>
          <w:rFonts w:ascii="宋体" w:eastAsia="宋体" w:hAnsi="宋体"/>
          <w:b/>
          <w:sz w:val="21"/>
          <w:szCs w:val="21"/>
        </w:rPr>
        <w:t>创意完整性与模板化程度</w:t>
      </w:r>
      <w:r w:rsidRPr="001E4967">
        <w:rPr>
          <w:rFonts w:ascii="宋体" w:eastAsia="宋体" w:hAnsi="宋体"/>
          <w:sz w:val="21"/>
          <w:szCs w:val="21"/>
        </w:rPr>
        <w:t>：评判整体创意完成度、逻辑一致性，重点考察内容套路化、同质化、重复化倾向，回应AI内容模板化的行业讨论。</w:t>
      </w:r>
    </w:p>
    <w:p w14:paraId="6CE2A274" w14:textId="77777777" w:rsidR="00A8183B" w:rsidRPr="001E4967" w:rsidRDefault="00000000">
      <w:pPr>
        <w:pStyle w:val="3"/>
        <w:rPr>
          <w:rFonts w:ascii="宋体" w:eastAsia="宋体" w:hAnsi="宋体"/>
          <w:sz w:val="21"/>
          <w:szCs w:val="21"/>
        </w:rPr>
      </w:pPr>
      <w:bookmarkStart w:id="33" w:name="mq4zeggl72c2gmq22ou"/>
      <w:r w:rsidRPr="001E4967">
        <w:rPr>
          <w:rFonts w:ascii="宋体" w:eastAsia="宋体" w:hAnsi="宋体"/>
          <w:sz w:val="21"/>
          <w:szCs w:val="21"/>
        </w:rPr>
        <w:t>（六）解释路径与分析原则</w:t>
      </w:r>
      <w:bookmarkEnd w:id="33"/>
    </w:p>
    <w:p w14:paraId="4D7F3D64"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完成内容对比后，本研究设置双路径机制解释框架，同时严守学术规范，保证论证严谨性。</w:t>
      </w:r>
    </w:p>
    <w:p w14:paraId="25630BE8" w14:textId="77777777" w:rsidR="00A8183B" w:rsidRPr="001E4967" w:rsidRDefault="00000000">
      <w:pPr>
        <w:pStyle w:val="4"/>
        <w:rPr>
          <w:rFonts w:ascii="宋体" w:eastAsia="宋体" w:hAnsi="宋体"/>
          <w:sz w:val="21"/>
          <w:szCs w:val="21"/>
        </w:rPr>
      </w:pPr>
      <w:bookmarkStart w:id="34" w:name="mq4zeggtggnha0etmv"/>
      <w:r w:rsidRPr="001E4967">
        <w:rPr>
          <w:rFonts w:ascii="宋体" w:eastAsia="宋体" w:hAnsi="宋体"/>
          <w:sz w:val="21"/>
          <w:szCs w:val="21"/>
        </w:rPr>
        <w:lastRenderedPageBreak/>
        <w:t>1. 两</w:t>
      </w:r>
      <w:proofErr w:type="gramStart"/>
      <w:r w:rsidRPr="001E4967">
        <w:rPr>
          <w:rFonts w:ascii="宋体" w:eastAsia="宋体" w:hAnsi="宋体"/>
          <w:sz w:val="21"/>
          <w:szCs w:val="21"/>
        </w:rPr>
        <w:t>大解释</w:t>
      </w:r>
      <w:proofErr w:type="gramEnd"/>
      <w:r w:rsidRPr="001E4967">
        <w:rPr>
          <w:rFonts w:ascii="宋体" w:eastAsia="宋体" w:hAnsi="宋体"/>
          <w:sz w:val="21"/>
          <w:szCs w:val="21"/>
        </w:rPr>
        <w:t>路径</w:t>
      </w:r>
      <w:bookmarkEnd w:id="34"/>
    </w:p>
    <w:p w14:paraId="63CC904E"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第一，人工广告实践逻辑路径：结合品牌战略、市场定位、受众洞察、创意流程、行业规范与团队协作模式，解读人工广告在叙事完整度、情感细腻度、品牌自然植入、视听编排等方面的内容特征。</w:t>
      </w:r>
      <w:r w:rsidRPr="00576DB9">
        <w:rPr>
          <w:rFonts w:ascii="宋体" w:eastAsia="宋体" w:hAnsi="宋体"/>
          <w:sz w:val="21"/>
          <w:szCs w:val="21"/>
        </w:rPr>
        <w:br/>
        <w:t>第二，AIGC广告生成逻辑路径：结合大模型概率生成规则、训练语料特征、提示词约束、多模态稳定性、时序控制能力及智能</w:t>
      </w:r>
      <w:proofErr w:type="gramStart"/>
      <w:r w:rsidRPr="00576DB9">
        <w:rPr>
          <w:rFonts w:ascii="宋体" w:eastAsia="宋体" w:hAnsi="宋体"/>
          <w:sz w:val="21"/>
          <w:szCs w:val="21"/>
        </w:rPr>
        <w:t>体任务</w:t>
      </w:r>
      <w:proofErr w:type="gramEnd"/>
      <w:r w:rsidRPr="00576DB9">
        <w:rPr>
          <w:rFonts w:ascii="宋体" w:eastAsia="宋体" w:hAnsi="宋体"/>
          <w:sz w:val="21"/>
          <w:szCs w:val="21"/>
        </w:rPr>
        <w:t>执行边界，分析AIGC广告模板化、情节断层、人物形象不一致、情感单薄等问题的内在成因。</w:t>
      </w:r>
    </w:p>
    <w:p w14:paraId="39C8F60D" w14:textId="77777777" w:rsidR="00A8183B" w:rsidRPr="001E4967" w:rsidRDefault="00000000">
      <w:pPr>
        <w:pStyle w:val="4"/>
        <w:rPr>
          <w:rFonts w:ascii="宋体" w:eastAsia="宋体" w:hAnsi="宋体"/>
          <w:sz w:val="21"/>
          <w:szCs w:val="21"/>
        </w:rPr>
      </w:pPr>
      <w:bookmarkStart w:id="35" w:name="mq4zeggvmvh11zxmesf"/>
      <w:r w:rsidRPr="001E4967">
        <w:rPr>
          <w:rFonts w:ascii="宋体" w:eastAsia="宋体" w:hAnsi="宋体"/>
          <w:sz w:val="21"/>
          <w:szCs w:val="21"/>
        </w:rPr>
        <w:t>2. 分析原则</w:t>
      </w:r>
      <w:bookmarkEnd w:id="35"/>
    </w:p>
    <w:p w14:paraId="6D9411E8"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本研究</w:t>
      </w:r>
      <w:proofErr w:type="gramStart"/>
      <w:r w:rsidRPr="00576DB9">
        <w:rPr>
          <w:rFonts w:ascii="宋体" w:eastAsia="宋体" w:hAnsi="宋体"/>
          <w:sz w:val="21"/>
          <w:szCs w:val="21"/>
        </w:rPr>
        <w:t>仅开展</w:t>
      </w:r>
      <w:proofErr w:type="gramEnd"/>
      <w:r w:rsidRPr="00576DB9">
        <w:rPr>
          <w:rFonts w:ascii="宋体" w:eastAsia="宋体" w:hAnsi="宋体"/>
          <w:sz w:val="21"/>
          <w:szCs w:val="21"/>
        </w:rPr>
        <w:t>机制性解读，不做绝对因果判定。由于研究基于内容样本、案例与公开技术资料，无法通过实验严格证明因果关系，行文表述将保持审慎，多采用“可能</w:t>
      </w:r>
      <w:proofErr w:type="gramStart"/>
      <w:r w:rsidRPr="00576DB9">
        <w:rPr>
          <w:rFonts w:ascii="宋体" w:eastAsia="宋体" w:hAnsi="宋体"/>
          <w:sz w:val="21"/>
          <w:szCs w:val="21"/>
        </w:rPr>
        <w:t>与</w:t>
      </w:r>
      <w:proofErr w:type="gramEnd"/>
      <w:r w:rsidRPr="00576DB9">
        <w:rPr>
          <w:rFonts w:ascii="宋体" w:eastAsia="宋体" w:hAnsi="宋体"/>
          <w:sz w:val="21"/>
          <w:szCs w:val="21"/>
        </w:rPr>
        <w:t>……相关”“可从……角度解释”等措辞，避免过度推论，在保证解释力度的同时，坚守学术严谨性。</w:t>
      </w:r>
    </w:p>
    <w:p w14:paraId="647FF288" w14:textId="77777777" w:rsidR="00A8183B" w:rsidRPr="001E4967" w:rsidRDefault="00A8183B">
      <w:pPr>
        <w:pStyle w:val="dingdocnormal"/>
        <w:rPr>
          <w:rFonts w:ascii="宋体" w:eastAsia="宋体" w:hAnsi="宋体"/>
          <w:sz w:val="21"/>
          <w:szCs w:val="21"/>
        </w:rPr>
      </w:pPr>
    </w:p>
    <w:p w14:paraId="1B8831FC" w14:textId="77777777" w:rsidR="00A8183B" w:rsidRPr="001E4967" w:rsidRDefault="00A8183B">
      <w:pPr>
        <w:pStyle w:val="dingdocnormal"/>
        <w:rPr>
          <w:rFonts w:ascii="宋体" w:eastAsia="宋体" w:hAnsi="宋体"/>
          <w:sz w:val="21"/>
          <w:szCs w:val="21"/>
        </w:rPr>
      </w:pPr>
    </w:p>
    <w:p w14:paraId="52F25D93" w14:textId="77777777" w:rsidR="00A8183B" w:rsidRPr="001E4967" w:rsidRDefault="00000000">
      <w:pPr>
        <w:pStyle w:val="1"/>
        <w:rPr>
          <w:rFonts w:ascii="宋体" w:eastAsia="宋体" w:hAnsi="宋体"/>
          <w:sz w:val="21"/>
          <w:szCs w:val="21"/>
        </w:rPr>
      </w:pPr>
      <w:bookmarkStart w:id="36" w:name="mq63ar3ht309xi4om4o"/>
      <w:r w:rsidRPr="001E4967">
        <w:rPr>
          <w:rFonts w:ascii="宋体" w:eastAsia="宋体" w:hAnsi="宋体"/>
          <w:sz w:val="21"/>
          <w:szCs w:val="21"/>
        </w:rPr>
        <w:t>五、目前工作进展情况、存在问题及解决的方法和措施</w:t>
      </w:r>
      <w:bookmarkEnd w:id="36"/>
    </w:p>
    <w:p w14:paraId="36FC9FC1" w14:textId="77777777" w:rsidR="00A8183B" w:rsidRPr="001E4967" w:rsidRDefault="00000000">
      <w:pPr>
        <w:pStyle w:val="2"/>
        <w:rPr>
          <w:rFonts w:ascii="宋体" w:eastAsia="宋体" w:hAnsi="宋体"/>
          <w:sz w:val="21"/>
          <w:szCs w:val="21"/>
        </w:rPr>
      </w:pPr>
      <w:bookmarkStart w:id="37" w:name="mq63ar3i05n8dyqgwiuw"/>
      <w:r w:rsidRPr="001E4967">
        <w:rPr>
          <w:rFonts w:ascii="宋体" w:eastAsia="宋体" w:hAnsi="宋体"/>
          <w:sz w:val="21"/>
          <w:szCs w:val="21"/>
        </w:rPr>
        <w:t>5.1 目前工作进展情况</w:t>
      </w:r>
      <w:bookmarkEnd w:id="37"/>
    </w:p>
    <w:p w14:paraId="1489704E"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现阶段本课题前期筹备工作已取得阶段性成果。第一，研究选题完成聚焦，由最初范围较广的AIGC广告相关研究，</w:t>
      </w:r>
      <w:r w:rsidRPr="00576DB9">
        <w:rPr>
          <w:rFonts w:ascii="宋体" w:eastAsia="宋体" w:hAnsi="宋体"/>
          <w:sz w:val="21"/>
          <w:szCs w:val="21"/>
        </w:rPr>
        <w:t>最终确定为人工生成与AIGC生成广告视频的内容差异及其生成逻辑解释研究，明确以广告视频为核心研究对象，将内容差异对比、生成逻辑解读作为两大研究主线。第二，整体研究思路基本落地，确立先比较、后解释的核心框架：</w:t>
      </w:r>
      <w:proofErr w:type="gramStart"/>
      <w:r w:rsidRPr="00576DB9">
        <w:rPr>
          <w:rFonts w:ascii="宋体" w:eastAsia="宋体" w:hAnsi="宋体"/>
          <w:sz w:val="21"/>
          <w:szCs w:val="21"/>
        </w:rPr>
        <w:t>先运用</w:t>
      </w:r>
      <w:proofErr w:type="gramEnd"/>
      <w:r w:rsidRPr="00576DB9">
        <w:rPr>
          <w:rFonts w:ascii="宋体" w:eastAsia="宋体" w:hAnsi="宋体"/>
          <w:sz w:val="21"/>
          <w:szCs w:val="21"/>
        </w:rPr>
        <w:t>内容分析法，多维度梳理两类广告视频的内容差异，再分别从人类广告创作逻辑、大模型与智能体生成逻辑两个角度剖析差异成因。第三，文献资料搜集整理工作正式启动，围绕AIGC广告应用、传统广告内容分析、视频广告研究、人机视听内</w:t>
      </w:r>
      <w:r w:rsidRPr="001E4967">
        <w:rPr>
          <w:rFonts w:ascii="宋体" w:eastAsia="宋体" w:hAnsi="宋体"/>
          <w:sz w:val="21"/>
          <w:szCs w:val="21"/>
        </w:rPr>
        <w:t>容对比、AI广告感知与态度等方向，积累了一定数量的中外文献，为搭建理论框架、设计内容编码维度筑牢前期基础。</w:t>
      </w:r>
    </w:p>
    <w:p w14:paraId="77A614DC" w14:textId="77777777" w:rsidR="00A8183B" w:rsidRPr="001E4967" w:rsidRDefault="00000000">
      <w:pPr>
        <w:pStyle w:val="2"/>
        <w:rPr>
          <w:rFonts w:ascii="宋体" w:eastAsia="宋体" w:hAnsi="宋体"/>
          <w:sz w:val="21"/>
          <w:szCs w:val="21"/>
        </w:rPr>
      </w:pPr>
      <w:bookmarkStart w:id="38" w:name="mq63ar3j9ut6aq3d2sk"/>
      <w:r w:rsidRPr="001E4967">
        <w:rPr>
          <w:rFonts w:ascii="宋体" w:eastAsia="宋体" w:hAnsi="宋体"/>
          <w:sz w:val="21"/>
          <w:szCs w:val="21"/>
        </w:rPr>
        <w:t>5.2 当前存在的主要问题</w:t>
      </w:r>
      <w:bookmarkEnd w:id="38"/>
    </w:p>
    <w:p w14:paraId="397B226D" w14:textId="77777777" w:rsidR="00A8183B" w:rsidRPr="001E4967" w:rsidRDefault="00000000">
      <w:pPr>
        <w:pStyle w:val="3"/>
        <w:rPr>
          <w:rFonts w:ascii="宋体" w:eastAsia="宋体" w:hAnsi="宋体"/>
          <w:sz w:val="21"/>
          <w:szCs w:val="21"/>
        </w:rPr>
      </w:pPr>
      <w:bookmarkStart w:id="39" w:name="mq63ar3kjra7905ey9"/>
      <w:r w:rsidRPr="001E4967">
        <w:rPr>
          <w:rFonts w:ascii="宋体" w:eastAsia="宋体" w:hAnsi="宋体"/>
          <w:sz w:val="21"/>
          <w:szCs w:val="21"/>
        </w:rPr>
        <w:t>5.2.1 文献储备仍需进一步补充</w:t>
      </w:r>
      <w:bookmarkEnd w:id="39"/>
    </w:p>
    <w:p w14:paraId="43E475A8"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目前虽已完成一轮系统性文献检索与整理，但文献结构存在不均衡问题。现有资料中，AIGC广告应用落地、行业流程变革、传播效果测评类文献较为丰富；而专门围绕AI广告视频内容结构对比的研究成果偏少，传统广告内容分析经典文献、视频广告专项研究文献、广告场景下人</w:t>
      </w:r>
      <w:proofErr w:type="gramStart"/>
      <w:r w:rsidRPr="00576DB9">
        <w:rPr>
          <w:rFonts w:ascii="宋体" w:eastAsia="宋体" w:hAnsi="宋体"/>
          <w:sz w:val="21"/>
          <w:szCs w:val="21"/>
        </w:rPr>
        <w:t>机内容</w:t>
      </w:r>
      <w:proofErr w:type="gramEnd"/>
      <w:r w:rsidRPr="00576DB9">
        <w:rPr>
          <w:rFonts w:ascii="宋体" w:eastAsia="宋体" w:hAnsi="宋体"/>
          <w:sz w:val="21"/>
          <w:szCs w:val="21"/>
        </w:rPr>
        <w:t>比较类文献仍有待补充与筛选。当前文献可支撑课题正常开展，但想要构建体系完整、论证扎实的文献综述，还需进一步拓宽检索范围、细化文献分类。</w:t>
      </w:r>
    </w:p>
    <w:p w14:paraId="2E828181" w14:textId="77777777" w:rsidR="00A8183B" w:rsidRPr="001E4967" w:rsidRDefault="00000000">
      <w:pPr>
        <w:pStyle w:val="3"/>
        <w:rPr>
          <w:rFonts w:ascii="宋体" w:eastAsia="宋体" w:hAnsi="宋体"/>
          <w:sz w:val="21"/>
          <w:szCs w:val="21"/>
        </w:rPr>
      </w:pPr>
      <w:bookmarkStart w:id="40" w:name="mq63ar3lx8fsc5k8iqf"/>
      <w:r w:rsidRPr="001E4967">
        <w:rPr>
          <w:rFonts w:ascii="宋体" w:eastAsia="宋体" w:hAnsi="宋体"/>
          <w:sz w:val="21"/>
          <w:szCs w:val="21"/>
        </w:rPr>
        <w:t>5.2.2 AIGC广告视频样本界定尚需细化</w:t>
      </w:r>
      <w:bookmarkEnd w:id="40"/>
    </w:p>
    <w:p w14:paraId="5FAEF2AD"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样本边界划分是本课题的难点之一。当下市面上绝大多数广告视频并非纯人工或纯AI制作，而是不同程度的人机协同产物。若样本界定标准过于宽泛，会降低两组样本的对比有效性；</w:t>
      </w:r>
      <w:proofErr w:type="gramStart"/>
      <w:r w:rsidRPr="00576DB9">
        <w:rPr>
          <w:rFonts w:ascii="宋体" w:eastAsia="宋体" w:hAnsi="宋体"/>
          <w:sz w:val="21"/>
          <w:szCs w:val="21"/>
        </w:rPr>
        <w:t>若标准</w:t>
      </w:r>
      <w:proofErr w:type="gramEnd"/>
      <w:r w:rsidRPr="00576DB9">
        <w:rPr>
          <w:rFonts w:ascii="宋体" w:eastAsia="宋体" w:hAnsi="宋体"/>
          <w:sz w:val="21"/>
          <w:szCs w:val="21"/>
        </w:rPr>
        <w:t>设置过于严苛，则容易出现样本体量不足，阻碍研究推进。目前已初步确定以AI是否主导核心生产环节作为判定依据，但具体的分类细则、佐证依据、样本剔除规则尚未细化，无法完全保障两类样本边界清晰、来源可信。</w:t>
      </w:r>
    </w:p>
    <w:p w14:paraId="55A0B542" w14:textId="77777777" w:rsidR="00A8183B" w:rsidRPr="001E4967" w:rsidRDefault="00000000">
      <w:pPr>
        <w:pStyle w:val="3"/>
        <w:rPr>
          <w:rFonts w:ascii="宋体" w:eastAsia="宋体" w:hAnsi="宋体"/>
          <w:sz w:val="21"/>
          <w:szCs w:val="21"/>
        </w:rPr>
      </w:pPr>
      <w:bookmarkStart w:id="41" w:name="mq63ar3m34ibuo3tl79"/>
      <w:r w:rsidRPr="001E4967">
        <w:rPr>
          <w:rFonts w:ascii="宋体" w:eastAsia="宋体" w:hAnsi="宋体"/>
          <w:sz w:val="21"/>
          <w:szCs w:val="21"/>
        </w:rPr>
        <w:t>5.2.3 AIGC一侧解释存在过度归因风险</w:t>
      </w:r>
      <w:bookmarkEnd w:id="41"/>
    </w:p>
    <w:p w14:paraId="115679B9"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本研究计划结合大模型运行原理、训练语料特征、多模态能力、智能</w:t>
      </w:r>
      <w:proofErr w:type="gramStart"/>
      <w:r w:rsidRPr="001E4967">
        <w:rPr>
          <w:rFonts w:ascii="宋体" w:eastAsia="宋体" w:hAnsi="宋体"/>
          <w:sz w:val="21"/>
          <w:szCs w:val="21"/>
        </w:rPr>
        <w:t>体工作</w:t>
      </w:r>
      <w:proofErr w:type="gramEnd"/>
      <w:r w:rsidRPr="001E4967">
        <w:rPr>
          <w:rFonts w:ascii="宋体" w:eastAsia="宋体" w:hAnsi="宋体"/>
          <w:sz w:val="21"/>
          <w:szCs w:val="21"/>
        </w:rPr>
        <w:t>流等内容，解读AIGC广告视频的内容特征。但研究仅能依托公开广告样本、现有学术成果与通用技术资料开展分析，无法获取单支广告对应的模型参数、完整提示词、生成日志等一手内部数据。在此前提下，若论述把控不当，极易出现</w:t>
      </w:r>
      <w:proofErr w:type="gramStart"/>
      <w:r w:rsidRPr="001E4967">
        <w:rPr>
          <w:rFonts w:ascii="宋体" w:eastAsia="宋体" w:hAnsi="宋体"/>
          <w:sz w:val="21"/>
          <w:szCs w:val="21"/>
        </w:rPr>
        <w:t>片面将</w:t>
      </w:r>
      <w:proofErr w:type="gramEnd"/>
      <w:r w:rsidRPr="001E4967">
        <w:rPr>
          <w:rFonts w:ascii="宋体" w:eastAsia="宋体" w:hAnsi="宋体"/>
          <w:sz w:val="21"/>
          <w:szCs w:val="21"/>
        </w:rPr>
        <w:t>内容特征归因于模型机制的过度推论，进而影响整体研究的严谨性。</w:t>
      </w:r>
    </w:p>
    <w:p w14:paraId="3D887264" w14:textId="77777777" w:rsidR="00A8183B" w:rsidRPr="001E4967" w:rsidRDefault="00000000">
      <w:pPr>
        <w:pStyle w:val="2"/>
        <w:rPr>
          <w:rFonts w:ascii="宋体" w:eastAsia="宋体" w:hAnsi="宋体"/>
          <w:sz w:val="21"/>
          <w:szCs w:val="21"/>
        </w:rPr>
      </w:pPr>
      <w:bookmarkStart w:id="42" w:name="mq63ar3ntbtah6vn3p"/>
      <w:r w:rsidRPr="001E4967">
        <w:rPr>
          <w:rFonts w:ascii="宋体" w:eastAsia="宋体" w:hAnsi="宋体"/>
          <w:sz w:val="21"/>
          <w:szCs w:val="21"/>
        </w:rPr>
        <w:t>5.3 解决的方法和措施</w:t>
      </w:r>
      <w:bookmarkEnd w:id="42"/>
    </w:p>
    <w:p w14:paraId="36994B68" w14:textId="77777777" w:rsidR="00A8183B" w:rsidRPr="001E4967" w:rsidRDefault="00000000">
      <w:pPr>
        <w:pStyle w:val="3"/>
        <w:rPr>
          <w:rFonts w:ascii="宋体" w:eastAsia="宋体" w:hAnsi="宋体"/>
          <w:sz w:val="21"/>
          <w:szCs w:val="21"/>
        </w:rPr>
      </w:pPr>
      <w:bookmarkStart w:id="43" w:name="mq63ar3o6vd0skqp3s5"/>
      <w:r w:rsidRPr="001E4967">
        <w:rPr>
          <w:rFonts w:ascii="宋体" w:eastAsia="宋体" w:hAnsi="宋体"/>
          <w:sz w:val="21"/>
          <w:szCs w:val="21"/>
        </w:rPr>
        <w:t>5.3.1 扩大文献检索与分类整理</w:t>
      </w:r>
      <w:bookmarkEnd w:id="43"/>
    </w:p>
    <w:p w14:paraId="31EEAFE5" w14:textId="77777777" w:rsidR="00A8183B" w:rsidRPr="00576DB9"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 xml:space="preserve">针对文献短板，后续将依托中国知网、Google Scholar等中外数据库，以“传统广告内容分析”“视频广告研究”“AI广告视频”“AI </w:t>
      </w:r>
      <w:proofErr w:type="spellStart"/>
      <w:r w:rsidRPr="001E4967">
        <w:rPr>
          <w:rFonts w:ascii="宋体" w:eastAsia="宋体" w:hAnsi="宋体"/>
          <w:sz w:val="21"/>
          <w:szCs w:val="21"/>
        </w:rPr>
        <w:t>disclosure”“human</w:t>
      </w:r>
      <w:proofErr w:type="spellEnd"/>
      <w:r w:rsidRPr="001E4967">
        <w:rPr>
          <w:rFonts w:ascii="宋体" w:eastAsia="宋体" w:hAnsi="宋体"/>
          <w:sz w:val="21"/>
          <w:szCs w:val="21"/>
        </w:rPr>
        <w:t>-made vs AI-generated video”等为关键词持续检索补充文献。同时按</w:t>
      </w:r>
      <w:r w:rsidRPr="00576DB9">
        <w:rPr>
          <w:rFonts w:ascii="宋体" w:eastAsia="宋体" w:hAnsi="宋体"/>
          <w:sz w:val="21"/>
          <w:szCs w:val="21"/>
        </w:rPr>
        <w:lastRenderedPageBreak/>
        <w:t>照应用研究、内容研究、效果研究、比较研究、方法研究五大板块对文献归类梳理，进一步完善文献体系，提升文献综述的完整性与针对性。</w:t>
      </w:r>
    </w:p>
    <w:p w14:paraId="2CDEB93D" w14:textId="77777777" w:rsidR="00A8183B" w:rsidRPr="001E4967" w:rsidRDefault="00000000">
      <w:pPr>
        <w:pStyle w:val="3"/>
        <w:rPr>
          <w:rFonts w:ascii="宋体" w:eastAsia="宋体" w:hAnsi="宋体"/>
          <w:sz w:val="21"/>
          <w:szCs w:val="21"/>
        </w:rPr>
      </w:pPr>
      <w:bookmarkStart w:id="44" w:name="mq63ar3p4w5vkglvicp"/>
      <w:r w:rsidRPr="001E4967">
        <w:rPr>
          <w:rFonts w:ascii="宋体" w:eastAsia="宋体" w:hAnsi="宋体"/>
          <w:sz w:val="21"/>
          <w:szCs w:val="21"/>
        </w:rPr>
        <w:t>5.3.2 明确样本标准与分类规则</w:t>
      </w:r>
      <w:bookmarkEnd w:id="44"/>
    </w:p>
    <w:p w14:paraId="777512DA"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针对样本界定难题，进一步细化筛选规范。结合作品发布方标注、行业资讯报道、创作者说明、视频本身AI生成特征等多重依据，交叉判定样本属性，制定清晰的样本纳入与剔除规则。对界定模糊、佐证材料不足的样本执行从严原则，绝不盲目扩充样本数量，保证人工广告视频与AIGC广告视频两组样本具备良好的可比性。</w:t>
      </w:r>
    </w:p>
    <w:p w14:paraId="61613027" w14:textId="77777777" w:rsidR="00A8183B" w:rsidRPr="001E4967" w:rsidRDefault="00000000">
      <w:pPr>
        <w:pStyle w:val="3"/>
        <w:rPr>
          <w:rFonts w:ascii="宋体" w:eastAsia="宋体" w:hAnsi="宋体"/>
          <w:sz w:val="21"/>
          <w:szCs w:val="21"/>
        </w:rPr>
      </w:pPr>
      <w:bookmarkStart w:id="45" w:name="mq63ar3q8owx7ihovmg"/>
      <w:r w:rsidRPr="001E4967">
        <w:rPr>
          <w:rFonts w:ascii="宋体" w:eastAsia="宋体" w:hAnsi="宋体"/>
          <w:sz w:val="21"/>
          <w:szCs w:val="21"/>
        </w:rPr>
        <w:t>5.3.3 通过</w:t>
      </w:r>
      <w:proofErr w:type="gramStart"/>
      <w:r w:rsidRPr="001E4967">
        <w:rPr>
          <w:rFonts w:ascii="宋体" w:eastAsia="宋体" w:hAnsi="宋体"/>
          <w:sz w:val="21"/>
          <w:szCs w:val="21"/>
        </w:rPr>
        <w:t>多材料</w:t>
      </w:r>
      <w:proofErr w:type="gramEnd"/>
      <w:r w:rsidRPr="001E4967">
        <w:rPr>
          <w:rFonts w:ascii="宋体" w:eastAsia="宋体" w:hAnsi="宋体"/>
          <w:sz w:val="21"/>
          <w:szCs w:val="21"/>
        </w:rPr>
        <w:t>支撑解释并控制表述强度</w:t>
      </w:r>
      <w:bookmarkEnd w:id="45"/>
    </w:p>
    <w:p w14:paraId="688124DA" w14:textId="77777777" w:rsidR="00A8183B" w:rsidRPr="001E4967"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为规避过度归因问题，采用内容样本、学术文献、公开技术资料三类材料交叉佐证的分析方式。行文过程中使用审慎表述，多用“可能</w:t>
      </w:r>
      <w:proofErr w:type="gramStart"/>
      <w:r w:rsidRPr="00576DB9">
        <w:rPr>
          <w:rFonts w:ascii="宋体" w:eastAsia="宋体" w:hAnsi="宋体"/>
          <w:sz w:val="21"/>
          <w:szCs w:val="21"/>
        </w:rPr>
        <w:t>与</w:t>
      </w:r>
      <w:proofErr w:type="gramEnd"/>
      <w:r w:rsidRPr="00576DB9">
        <w:rPr>
          <w:rFonts w:ascii="宋体" w:eastAsia="宋体" w:hAnsi="宋体"/>
          <w:sz w:val="21"/>
          <w:szCs w:val="21"/>
        </w:rPr>
        <w:t>……相关”“可从……角度解释”“在一定程度上体现出……”等措辞，杜绝将内容差异简单归因为单一技术因素。以多元材料为支撑、以严谨表述为原则，提升研究结论的可信度与学术规</w:t>
      </w:r>
      <w:r w:rsidRPr="001E4967">
        <w:rPr>
          <w:rFonts w:ascii="宋体" w:eastAsia="宋体" w:hAnsi="宋体"/>
          <w:sz w:val="21"/>
          <w:szCs w:val="21"/>
        </w:rPr>
        <w:t>范性。</w:t>
      </w:r>
    </w:p>
    <w:p w14:paraId="3D6FB37C" w14:textId="77777777" w:rsidR="00A8183B" w:rsidRPr="001E4967" w:rsidRDefault="00A8183B">
      <w:pPr>
        <w:pStyle w:val="dingdocnormal"/>
        <w:rPr>
          <w:rFonts w:ascii="宋体" w:eastAsia="宋体" w:hAnsi="宋体"/>
          <w:sz w:val="21"/>
          <w:szCs w:val="21"/>
        </w:rPr>
      </w:pPr>
    </w:p>
    <w:p w14:paraId="0145724B" w14:textId="77777777" w:rsidR="00A8183B" w:rsidRPr="001E4967" w:rsidRDefault="00000000">
      <w:pPr>
        <w:pStyle w:val="2"/>
        <w:rPr>
          <w:rFonts w:ascii="宋体" w:eastAsia="宋体" w:hAnsi="宋体"/>
          <w:sz w:val="21"/>
          <w:szCs w:val="21"/>
        </w:rPr>
      </w:pPr>
      <w:bookmarkStart w:id="46" w:name="mq63di6w60szb3gtrjb"/>
      <w:r w:rsidRPr="001E4967">
        <w:rPr>
          <w:rFonts w:ascii="宋体" w:eastAsia="宋体" w:hAnsi="宋体"/>
          <w:sz w:val="21"/>
          <w:szCs w:val="21"/>
        </w:rPr>
        <w:t>六、完成论文时间及预期结果</w:t>
      </w:r>
      <w:bookmarkEnd w:id="46"/>
    </w:p>
    <w:p w14:paraId="603E5D58" w14:textId="77777777" w:rsidR="00A8183B" w:rsidRPr="001E4967" w:rsidRDefault="00000000">
      <w:pPr>
        <w:pStyle w:val="3"/>
        <w:rPr>
          <w:rFonts w:ascii="宋体" w:eastAsia="宋体" w:hAnsi="宋体"/>
          <w:sz w:val="21"/>
          <w:szCs w:val="21"/>
        </w:rPr>
      </w:pPr>
      <w:bookmarkStart w:id="47" w:name="mq63di6xz8y446j8oy"/>
      <w:r w:rsidRPr="001E4967">
        <w:rPr>
          <w:rFonts w:ascii="宋体" w:eastAsia="宋体" w:hAnsi="宋体"/>
          <w:sz w:val="21"/>
          <w:szCs w:val="21"/>
        </w:rPr>
        <w:t>6.1 完成论文的时间安排</w:t>
      </w:r>
      <w:bookmarkEnd w:id="47"/>
    </w:p>
    <w:p w14:paraId="538FD85A"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本课题遵循</w:t>
      </w:r>
      <w:r w:rsidRPr="001E4967">
        <w:rPr>
          <w:rFonts w:ascii="宋体" w:eastAsia="宋体" w:hAnsi="宋体"/>
          <w:b/>
          <w:sz w:val="21"/>
          <w:szCs w:val="21"/>
        </w:rPr>
        <w:t>前期准备—样本整理—内容分析</w:t>
      </w:r>
      <w:proofErr w:type="gramStart"/>
      <w:r w:rsidRPr="001E4967">
        <w:rPr>
          <w:rFonts w:ascii="宋体" w:eastAsia="宋体" w:hAnsi="宋体"/>
          <w:b/>
          <w:sz w:val="21"/>
          <w:szCs w:val="21"/>
        </w:rPr>
        <w:t>—机制</w:t>
      </w:r>
      <w:proofErr w:type="gramEnd"/>
      <w:r w:rsidRPr="001E4967">
        <w:rPr>
          <w:rFonts w:ascii="宋体" w:eastAsia="宋体" w:hAnsi="宋体"/>
          <w:b/>
          <w:sz w:val="21"/>
          <w:szCs w:val="21"/>
        </w:rPr>
        <w:t>解释—论文写作—修改定稿</w:t>
      </w:r>
      <w:r w:rsidRPr="001E4967">
        <w:rPr>
          <w:rFonts w:ascii="宋体" w:eastAsia="宋体" w:hAnsi="宋体"/>
          <w:sz w:val="21"/>
          <w:szCs w:val="21"/>
        </w:rPr>
        <w:t>的流程分阶段实施，保障研究稳步推进。</w:t>
      </w:r>
    </w:p>
    <w:p w14:paraId="506BE2C4" w14:textId="77777777" w:rsidR="00A8183B" w:rsidRPr="001E4967" w:rsidRDefault="00000000">
      <w:pPr>
        <w:pStyle w:val="dingdocnormal"/>
        <w:numPr>
          <w:ilvl w:val="0"/>
          <w:numId w:val="3"/>
        </w:numPr>
        <w:rPr>
          <w:rFonts w:ascii="宋体" w:eastAsia="宋体" w:hAnsi="宋体"/>
          <w:sz w:val="21"/>
          <w:szCs w:val="21"/>
        </w:rPr>
      </w:pPr>
      <w:r w:rsidRPr="001E4967">
        <w:rPr>
          <w:rFonts w:ascii="宋体" w:eastAsia="宋体" w:hAnsi="宋体"/>
          <w:b/>
          <w:sz w:val="21"/>
          <w:szCs w:val="21"/>
        </w:rPr>
        <w:t>2026年4月—2026年6月：开题准备与研究</w:t>
      </w:r>
      <w:proofErr w:type="gramStart"/>
      <w:r w:rsidRPr="001E4967">
        <w:rPr>
          <w:rFonts w:ascii="宋体" w:eastAsia="宋体" w:hAnsi="宋体"/>
          <w:b/>
          <w:sz w:val="21"/>
          <w:szCs w:val="21"/>
        </w:rPr>
        <w:t>方案完善</w:t>
      </w:r>
      <w:proofErr w:type="gramEnd"/>
      <w:r w:rsidRPr="001E4967">
        <w:rPr>
          <w:rFonts w:ascii="宋体" w:eastAsia="宋体" w:hAnsi="宋体"/>
          <w:sz w:val="21"/>
          <w:szCs w:val="21"/>
        </w:rPr>
        <w:br/>
        <w:t>完成选题聚焦、核心概念界定、文献初步梳理、研究问题确立与整体框架搭建，撰写并完善开题报告。</w:t>
      </w:r>
    </w:p>
    <w:p w14:paraId="55E74C86" w14:textId="77777777" w:rsidR="00A8183B" w:rsidRPr="001E4967" w:rsidRDefault="00000000">
      <w:pPr>
        <w:pStyle w:val="dingdocnormal"/>
        <w:numPr>
          <w:ilvl w:val="0"/>
          <w:numId w:val="3"/>
        </w:numPr>
        <w:rPr>
          <w:rFonts w:ascii="宋体" w:eastAsia="宋体" w:hAnsi="宋体"/>
          <w:sz w:val="21"/>
          <w:szCs w:val="21"/>
        </w:rPr>
      </w:pPr>
      <w:r w:rsidRPr="001E4967">
        <w:rPr>
          <w:rFonts w:ascii="宋体" w:eastAsia="宋体" w:hAnsi="宋体"/>
          <w:b/>
          <w:sz w:val="21"/>
          <w:szCs w:val="21"/>
        </w:rPr>
        <w:t>2026年5月—2026年7月：样本收集与案例整理</w:t>
      </w:r>
      <w:r w:rsidRPr="001E4967">
        <w:rPr>
          <w:rFonts w:ascii="宋体" w:eastAsia="宋体" w:hAnsi="宋体"/>
          <w:sz w:val="21"/>
          <w:szCs w:val="21"/>
        </w:rPr>
        <w:br/>
        <w:t>按照既定标准完成人工广告视频、AIGC广告视频两类样本的搜集、筛选、分类与归档，持续优化样本界定规则，保障样本的可比性与可信度。</w:t>
      </w:r>
    </w:p>
    <w:p w14:paraId="256F89EC" w14:textId="77777777" w:rsidR="00A8183B" w:rsidRPr="001E4967" w:rsidRDefault="00000000">
      <w:pPr>
        <w:pStyle w:val="dingdocnormal"/>
        <w:numPr>
          <w:ilvl w:val="0"/>
          <w:numId w:val="3"/>
        </w:numPr>
        <w:rPr>
          <w:rFonts w:ascii="宋体" w:eastAsia="宋体" w:hAnsi="宋体"/>
          <w:sz w:val="21"/>
          <w:szCs w:val="21"/>
        </w:rPr>
      </w:pPr>
      <w:r w:rsidRPr="001E4967">
        <w:rPr>
          <w:rFonts w:ascii="宋体" w:eastAsia="宋体" w:hAnsi="宋体"/>
          <w:b/>
          <w:sz w:val="21"/>
          <w:szCs w:val="21"/>
        </w:rPr>
        <w:t>2026年7月—2026年9月：内容分析与生成逻辑解释</w:t>
      </w:r>
      <w:r w:rsidRPr="001E4967">
        <w:rPr>
          <w:rFonts w:ascii="宋体" w:eastAsia="宋体" w:hAnsi="宋体"/>
          <w:sz w:val="21"/>
          <w:szCs w:val="21"/>
        </w:rPr>
        <w:br/>
        <w:t>搭建内容编码体系，开展预编码与正式编码工作，从广告诉求、叙事结构、人物设置、品牌呈现、情感表达、视听风格等维度完成对比分析；结合案例与技术资料，从双路径解读内容差异的形成原因。</w:t>
      </w:r>
    </w:p>
    <w:p w14:paraId="430AE306" w14:textId="77777777" w:rsidR="00A8183B" w:rsidRPr="001E4967" w:rsidRDefault="00000000">
      <w:pPr>
        <w:pStyle w:val="dingdocnormal"/>
        <w:numPr>
          <w:ilvl w:val="0"/>
          <w:numId w:val="3"/>
        </w:numPr>
        <w:rPr>
          <w:rFonts w:ascii="宋体" w:eastAsia="宋体" w:hAnsi="宋体"/>
          <w:sz w:val="21"/>
          <w:szCs w:val="21"/>
        </w:rPr>
      </w:pPr>
      <w:r w:rsidRPr="001E4967">
        <w:rPr>
          <w:rFonts w:ascii="宋体" w:eastAsia="宋体" w:hAnsi="宋体"/>
          <w:b/>
          <w:sz w:val="21"/>
          <w:szCs w:val="21"/>
        </w:rPr>
        <w:t>2026年10月—2027年2月：论文撰写与整合修改</w:t>
      </w:r>
      <w:r w:rsidRPr="001E4967">
        <w:rPr>
          <w:rFonts w:ascii="宋体" w:eastAsia="宋体" w:hAnsi="宋体"/>
          <w:sz w:val="21"/>
          <w:szCs w:val="21"/>
        </w:rPr>
        <w:br/>
        <w:t>依托前期研究成果完成论文主体内容撰写，整合文献综述、研究设计、数据分析、机制解释等板块，形成完整初稿，并根据指导意见开展多轮修改。</w:t>
      </w:r>
    </w:p>
    <w:p w14:paraId="13B4312D" w14:textId="77777777" w:rsidR="00A8183B" w:rsidRPr="001E4967" w:rsidRDefault="00000000">
      <w:pPr>
        <w:pStyle w:val="dingdocnormal"/>
        <w:numPr>
          <w:ilvl w:val="0"/>
          <w:numId w:val="3"/>
        </w:numPr>
        <w:rPr>
          <w:rFonts w:ascii="宋体" w:eastAsia="宋体" w:hAnsi="宋体"/>
          <w:sz w:val="21"/>
          <w:szCs w:val="21"/>
        </w:rPr>
      </w:pPr>
      <w:r w:rsidRPr="001E4967">
        <w:rPr>
          <w:rFonts w:ascii="宋体" w:eastAsia="宋体" w:hAnsi="宋体"/>
          <w:b/>
          <w:sz w:val="21"/>
          <w:szCs w:val="21"/>
        </w:rPr>
        <w:t>2027年3月：论文定稿</w:t>
      </w:r>
      <w:r w:rsidRPr="001E4967">
        <w:rPr>
          <w:rFonts w:ascii="宋体" w:eastAsia="宋体" w:hAnsi="宋体"/>
          <w:sz w:val="21"/>
          <w:szCs w:val="21"/>
        </w:rPr>
        <w:br/>
        <w:t>完成全文语言润色、格式统一、注释与参考文献校核、自查</w:t>
      </w:r>
      <w:proofErr w:type="gramStart"/>
      <w:r w:rsidRPr="001E4967">
        <w:rPr>
          <w:rFonts w:ascii="宋体" w:eastAsia="宋体" w:hAnsi="宋体"/>
          <w:sz w:val="21"/>
          <w:szCs w:val="21"/>
        </w:rPr>
        <w:t>查</w:t>
      </w:r>
      <w:proofErr w:type="gramEnd"/>
      <w:r w:rsidRPr="001E4967">
        <w:rPr>
          <w:rFonts w:ascii="宋体" w:eastAsia="宋体" w:hAnsi="宋体"/>
          <w:sz w:val="21"/>
          <w:szCs w:val="21"/>
        </w:rPr>
        <w:t>重等工作，形成符合学术规范与答辩要求的最终定稿。</w:t>
      </w:r>
    </w:p>
    <w:p w14:paraId="02CF5694" w14:textId="77777777" w:rsidR="00A8183B" w:rsidRPr="001E4967" w:rsidRDefault="00000000">
      <w:pPr>
        <w:pStyle w:val="3"/>
        <w:rPr>
          <w:rFonts w:ascii="宋体" w:eastAsia="宋体" w:hAnsi="宋体"/>
          <w:sz w:val="21"/>
          <w:szCs w:val="21"/>
        </w:rPr>
      </w:pPr>
      <w:bookmarkStart w:id="48" w:name="mq63di712sm62bh4fnw"/>
      <w:r w:rsidRPr="001E4967">
        <w:rPr>
          <w:rFonts w:ascii="宋体" w:eastAsia="宋体" w:hAnsi="宋体"/>
          <w:sz w:val="21"/>
          <w:szCs w:val="21"/>
        </w:rPr>
        <w:t>6.2 预期结果</w:t>
      </w:r>
      <w:bookmarkEnd w:id="48"/>
    </w:p>
    <w:p w14:paraId="67392D53" w14:textId="77777777" w:rsidR="00A8183B" w:rsidRPr="001E4967" w:rsidRDefault="00000000" w:rsidP="001E4967">
      <w:pPr>
        <w:pStyle w:val="dingdocnormal"/>
        <w:ind w:left="420"/>
        <w:rPr>
          <w:rFonts w:ascii="宋体" w:eastAsia="宋体" w:hAnsi="宋体"/>
          <w:sz w:val="21"/>
          <w:szCs w:val="21"/>
        </w:rPr>
      </w:pPr>
      <w:r w:rsidRPr="001E4967">
        <w:rPr>
          <w:rFonts w:ascii="宋体" w:eastAsia="宋体" w:hAnsi="宋体"/>
          <w:sz w:val="21"/>
          <w:szCs w:val="21"/>
        </w:rPr>
        <w:t>本课题预计取得三项研究成果：</w:t>
      </w:r>
      <w:r w:rsidRPr="001E4967">
        <w:rPr>
          <w:rFonts w:ascii="宋体" w:eastAsia="宋体" w:hAnsi="宋体"/>
          <w:sz w:val="21"/>
          <w:szCs w:val="21"/>
        </w:rPr>
        <w:br/>
        <w:t>第一，完成专题学位论文。围绕人工生成与AIGC生成广告视频展开系统性对比研究，完整呈现研究问题、文献基础、研究方法、分析结论与逻辑解释。</w:t>
      </w:r>
    </w:p>
    <w:p w14:paraId="178CC6E3"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第二，归纳两类广告视频的内容差异。梳理二者在广告诉求、叙事结构、人物设置、品牌露出、情感表达、视听风格、创意完整性等维度的特征区别，明确AIGC广告视频的整体内容样貌。</w:t>
      </w:r>
    </w:p>
    <w:p w14:paraId="0EB6B501"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第三，</w:t>
      </w:r>
      <w:proofErr w:type="gramStart"/>
      <w:r w:rsidRPr="001E4967">
        <w:rPr>
          <w:rFonts w:ascii="宋体" w:eastAsia="宋体" w:hAnsi="宋体"/>
          <w:sz w:val="21"/>
          <w:szCs w:val="21"/>
        </w:rPr>
        <w:t>构建双</w:t>
      </w:r>
      <w:proofErr w:type="gramEnd"/>
      <w:r w:rsidRPr="001E4967">
        <w:rPr>
          <w:rFonts w:ascii="宋体" w:eastAsia="宋体" w:hAnsi="宋体"/>
          <w:sz w:val="21"/>
          <w:szCs w:val="21"/>
        </w:rPr>
        <w:t>路径解释框架。结合人工广告实践逻辑与AIGC生成机制边界，既厘清内容差异的具体表现，也阐释差异产生的深层原因。</w:t>
      </w:r>
    </w:p>
    <w:p w14:paraId="124AA63B" w14:textId="77777777" w:rsidR="00A8183B"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本研究旨在为AIGC广告领域，补充聚焦内容结构与生产逻辑的全新分析思路。</w:t>
      </w:r>
    </w:p>
    <w:p w14:paraId="5C73A9C4" w14:textId="77777777" w:rsidR="00A15E0B" w:rsidRDefault="00A15E0B" w:rsidP="001E4967">
      <w:pPr>
        <w:pStyle w:val="dingdocnormal"/>
        <w:ind w:firstLine="420"/>
        <w:rPr>
          <w:rFonts w:ascii="宋体" w:eastAsia="宋体" w:hAnsi="宋体"/>
          <w:sz w:val="21"/>
          <w:szCs w:val="21"/>
        </w:rPr>
      </w:pPr>
    </w:p>
    <w:p w14:paraId="4FDD18C1" w14:textId="77777777" w:rsidR="00A15E0B" w:rsidRDefault="00A15E0B" w:rsidP="001E4967">
      <w:pPr>
        <w:pStyle w:val="dingdocnormal"/>
        <w:ind w:firstLine="420"/>
        <w:rPr>
          <w:rFonts w:ascii="宋体" w:eastAsia="宋体" w:hAnsi="宋体"/>
          <w:sz w:val="21"/>
          <w:szCs w:val="21"/>
        </w:rPr>
      </w:pPr>
    </w:p>
    <w:p w14:paraId="0361D186" w14:textId="77777777" w:rsidR="00A15E0B" w:rsidRDefault="00A15E0B" w:rsidP="001E4967">
      <w:pPr>
        <w:pStyle w:val="dingdocnormal"/>
        <w:ind w:firstLine="420"/>
        <w:rPr>
          <w:rFonts w:ascii="宋体" w:eastAsia="宋体" w:hAnsi="宋体"/>
          <w:sz w:val="21"/>
          <w:szCs w:val="21"/>
        </w:rPr>
      </w:pPr>
    </w:p>
    <w:p w14:paraId="22A00760" w14:textId="77777777" w:rsidR="00A15E0B" w:rsidRDefault="00A15E0B" w:rsidP="001E4967">
      <w:pPr>
        <w:pStyle w:val="dingdocnormal"/>
        <w:ind w:firstLine="420"/>
        <w:rPr>
          <w:rFonts w:ascii="宋体" w:eastAsia="宋体" w:hAnsi="宋体"/>
          <w:sz w:val="21"/>
          <w:szCs w:val="21"/>
        </w:rPr>
      </w:pPr>
    </w:p>
    <w:p w14:paraId="0BC2D4CC" w14:textId="77777777" w:rsidR="00A15E0B" w:rsidRDefault="00A15E0B" w:rsidP="001E4967">
      <w:pPr>
        <w:pStyle w:val="dingdocnormal"/>
        <w:ind w:firstLine="420"/>
        <w:rPr>
          <w:rFonts w:ascii="宋体" w:eastAsia="宋体" w:hAnsi="宋体"/>
          <w:sz w:val="21"/>
          <w:szCs w:val="21"/>
        </w:rPr>
      </w:pPr>
    </w:p>
    <w:p w14:paraId="229BE7ED" w14:textId="5857045C" w:rsidR="00A15E0B" w:rsidRPr="001E4967" w:rsidRDefault="00A15E0B" w:rsidP="001E4967">
      <w:pPr>
        <w:pStyle w:val="dingdocnormal"/>
        <w:ind w:firstLine="420"/>
        <w:rPr>
          <w:rFonts w:ascii="宋体" w:eastAsia="宋体" w:hAnsi="宋体"/>
          <w:sz w:val="21"/>
          <w:szCs w:val="21"/>
        </w:rPr>
      </w:pPr>
    </w:p>
    <w:sectPr w:rsidR="00A15E0B" w:rsidRPr="001E4967">
      <w:pgSz w:w="13380" w:h="16905"/>
      <w:pgMar w:top="720" w:right="1080" w:bottom="720" w:left="1080" w:header="850" w:footer="9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BDA82D" w14:textId="77777777" w:rsidR="004F547D" w:rsidRDefault="004F547D" w:rsidP="001E4967">
      <w:r>
        <w:separator/>
      </w:r>
    </w:p>
  </w:endnote>
  <w:endnote w:type="continuationSeparator" w:id="0">
    <w:p w14:paraId="7941D7A8" w14:textId="77777777" w:rsidR="004F547D" w:rsidRDefault="004F547D" w:rsidP="001E49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B05CA" w14:textId="77777777" w:rsidR="004F547D" w:rsidRDefault="004F547D" w:rsidP="001E4967">
      <w:r>
        <w:separator/>
      </w:r>
    </w:p>
  </w:footnote>
  <w:footnote w:type="continuationSeparator" w:id="0">
    <w:p w14:paraId="70FEC150" w14:textId="77777777" w:rsidR="004F547D" w:rsidRDefault="004F547D" w:rsidP="001E49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00C8A"/>
    <w:multiLevelType w:val="multilevel"/>
    <w:tmpl w:val="77128852"/>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C3C7762"/>
    <w:multiLevelType w:val="multilevel"/>
    <w:tmpl w:val="66D09852"/>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B623231"/>
    <w:multiLevelType w:val="multilevel"/>
    <w:tmpl w:val="5F84E734"/>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78962600">
    <w:abstractNumId w:val="2"/>
  </w:num>
  <w:num w:numId="2" w16cid:durableId="1124737715">
    <w:abstractNumId w:val="0"/>
  </w:num>
  <w:num w:numId="3" w16cid:durableId="232663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83B"/>
    <w:rsid w:val="001E4967"/>
    <w:rsid w:val="004F547D"/>
    <w:rsid w:val="0050501B"/>
    <w:rsid w:val="00576DB9"/>
    <w:rsid w:val="00842031"/>
    <w:rsid w:val="00A15E0B"/>
    <w:rsid w:val="00A8183B"/>
    <w:rsid w:val="00F349DE"/>
    <w:rsid w:val="00F867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57527B"/>
  <w15:docId w15:val="{78BF1A67-CD24-425D-BC3A-BF2EC11A3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keepNext/>
      <w:keepLines/>
      <w:spacing w:before="348" w:after="210"/>
      <w:outlineLvl w:val="0"/>
    </w:pPr>
    <w:rPr>
      <w:b/>
      <w:sz w:val="34"/>
    </w:rPr>
  </w:style>
  <w:style w:type="paragraph" w:styleId="2">
    <w:name w:val="heading 2"/>
    <w:uiPriority w:val="9"/>
    <w:unhideWhenUsed/>
    <w:qFormat/>
    <w:pPr>
      <w:keepNext/>
      <w:keepLines/>
      <w:spacing w:before="348" w:after="190"/>
      <w:outlineLvl w:val="1"/>
    </w:pPr>
    <w:rPr>
      <w:b/>
      <w:sz w:val="28"/>
    </w:rPr>
  </w:style>
  <w:style w:type="paragraph" w:styleId="3">
    <w:name w:val="heading 3"/>
    <w:uiPriority w:val="9"/>
    <w:unhideWhenUsed/>
    <w:qFormat/>
    <w:pPr>
      <w:keepNext/>
      <w:keepLines/>
      <w:spacing w:before="348" w:after="170"/>
      <w:outlineLvl w:val="2"/>
    </w:pPr>
    <w:rPr>
      <w:b/>
      <w:sz w:val="22"/>
    </w:rPr>
  </w:style>
  <w:style w:type="paragraph" w:styleId="4">
    <w:name w:val="heading 4"/>
    <w:uiPriority w:val="9"/>
    <w:unhideWhenUsed/>
    <w:qFormat/>
    <w:pPr>
      <w:keepNext/>
      <w:keepLines/>
      <w:spacing w:before="348" w:after="150"/>
      <w:outlineLvl w:val="3"/>
    </w:pPr>
    <w:rPr>
      <w:b/>
      <w:sz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style>
  <w:style w:type="paragraph" w:customStyle="1" w:styleId="dingdocnormal">
    <w:name w:val="dingdocnormal"/>
    <w:rPr>
      <w:sz w:val="24"/>
    </w:rPr>
  </w:style>
  <w:style w:type="paragraph" w:styleId="a4">
    <w:name w:val="header"/>
    <w:basedOn w:val="a"/>
    <w:link w:val="a5"/>
    <w:uiPriority w:val="99"/>
    <w:unhideWhenUsed/>
    <w:rsid w:val="001E4967"/>
    <w:pPr>
      <w:tabs>
        <w:tab w:val="center" w:pos="4153"/>
        <w:tab w:val="right" w:pos="8306"/>
      </w:tabs>
      <w:snapToGrid w:val="0"/>
      <w:jc w:val="center"/>
    </w:pPr>
    <w:rPr>
      <w:sz w:val="18"/>
      <w:szCs w:val="18"/>
    </w:rPr>
  </w:style>
  <w:style w:type="character" w:customStyle="1" w:styleId="a5">
    <w:name w:val="页眉 字符"/>
    <w:basedOn w:val="a0"/>
    <w:link w:val="a4"/>
    <w:uiPriority w:val="99"/>
    <w:rsid w:val="001E4967"/>
    <w:rPr>
      <w:sz w:val="18"/>
      <w:szCs w:val="18"/>
    </w:rPr>
  </w:style>
  <w:style w:type="paragraph" w:styleId="a6">
    <w:name w:val="footer"/>
    <w:basedOn w:val="a"/>
    <w:link w:val="a7"/>
    <w:uiPriority w:val="99"/>
    <w:unhideWhenUsed/>
    <w:rsid w:val="001E4967"/>
    <w:pPr>
      <w:tabs>
        <w:tab w:val="center" w:pos="4153"/>
        <w:tab w:val="right" w:pos="8306"/>
      </w:tabs>
      <w:snapToGrid w:val="0"/>
    </w:pPr>
    <w:rPr>
      <w:sz w:val="18"/>
      <w:szCs w:val="18"/>
    </w:rPr>
  </w:style>
  <w:style w:type="character" w:customStyle="1" w:styleId="a7">
    <w:name w:val="页脚 字符"/>
    <w:basedOn w:val="a0"/>
    <w:link w:val="a6"/>
    <w:uiPriority w:val="99"/>
    <w:rsid w:val="001E496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1979</Words>
  <Characters>11283</Characters>
  <Application>Microsoft Office Word</Application>
  <DocSecurity>0</DocSecurity>
  <Lines>94</Lines>
  <Paragraphs>26</Paragraphs>
  <ScaleCrop>false</ScaleCrop>
  <Company/>
  <LinksUpToDate>false</LinksUpToDate>
  <CharactersWithSpaces>13236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DingTalk</dc:creator>
  <dc:description>DingTalk Document</dc:description>
  <cp:lastModifiedBy>ws</cp:lastModifiedBy>
  <cp:revision>4</cp:revision>
  <dcterms:created xsi:type="dcterms:W3CDTF">1970-01-01T00:00:00Z</dcterms:created>
  <dcterms:modified xsi:type="dcterms:W3CDTF">2026-06-09T03:57:00Z</dcterms:modified>
  <dc:language>ZN_CH</dc:language>
</cp:coreProperties>
</file>