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2"/>
        </w:rPr>
        <w:t>多模态话语视角下AIGC视频广告品牌形象建构策略研究</w:t>
      </w:r>
    </w:p>
    <w:p>
      <w:pPr>
        <w:pStyle w:val="Heading1"/>
        <w:spacing w:before="120" w:after="60" w:line="360" w:lineRule="auto"/>
      </w:pPr>
      <w:r>
        <w:rPr>
          <w:rFonts w:ascii="黑体" w:hAnsi="黑体" w:eastAsia="黑体"/>
          <w:b/>
          <w:sz w:val="28"/>
        </w:rPr>
        <w:t>一、课题的来源及选择本课题的指导思想</w:t>
      </w:r>
    </w:p>
    <w:p>
      <w:pPr>
        <w:pStyle w:val="Heading2"/>
        <w:spacing w:before="120" w:after="60" w:line="360" w:lineRule="auto"/>
      </w:pPr>
      <w:r>
        <w:rPr>
          <w:rFonts w:ascii="黑体" w:hAnsi="黑体" w:eastAsia="黑体"/>
          <w:b/>
          <w:sz w:val="24"/>
        </w:rPr>
        <w:t>1.1 课题提出的现实背景</w:t>
      </w:r>
    </w:p>
    <w:p>
      <w:pPr>
        <w:spacing w:line="360" w:lineRule="auto" w:after="0" w:before="0"/>
        <w:ind w:firstLine="480"/>
      </w:pPr>
      <w:r>
        <w:rPr>
          <w:rFonts w:ascii="宋体" w:hAnsi="宋体" w:eastAsia="宋体"/>
          <w:b w:val="0"/>
          <w:sz w:val="24"/>
        </w:rPr>
        <w:t>近两年，生成式人工智能技术快速进入广告内容生产链条，应用范围已从文案撰写、图片生成扩展到脚本构思、分镜设计、角色塑造、配音配乐、视频生成与智能剪辑等多个环节。段淳林、魏方（2025）指出，计算广告正由“大数据驱动”转向“知识生成驱动”；张可（2025）也认为，生成式人工智能正在重塑广告的生产逻辑与传播方式。由此可见，AIGC对广告行业的影响已不只是单点提效，而是对内容生产方式的整体改造。</w:t>
      </w:r>
    </w:p>
    <w:p>
      <w:pPr>
        <w:spacing w:line="360" w:lineRule="auto" w:after="0" w:before="0"/>
        <w:ind w:firstLine="480"/>
      </w:pPr>
      <w:r>
        <w:rPr>
          <w:rFonts w:ascii="宋体" w:hAnsi="宋体" w:eastAsia="宋体"/>
          <w:b w:val="0"/>
          <w:sz w:val="24"/>
        </w:rPr>
        <w:t>在这一变化中，视频广告尤为值得关注。相较于平面广告和纯文本广告，视频广告具有语言、画面、音乐、音效、字幕、镜头运动和剪辑节奏等多种符号资源协同运作的特征，是一种典型的动态多模态语篇。品牌越来越依赖视频广告来传递品牌理念、产品价值、生活方式想象与情感氛围，因此，AIGC进入视频广告创作后，最值得研究的问题不仅是“生产效率是否提高”，更是“广告文本中的品牌形象如何被重新呈现和组织”。</w:t>
      </w:r>
    </w:p>
    <w:p>
      <w:pPr>
        <w:pStyle w:val="Heading2"/>
        <w:spacing w:before="120" w:after="60" w:line="360" w:lineRule="auto"/>
      </w:pPr>
      <w:r>
        <w:rPr>
          <w:rFonts w:ascii="黑体" w:hAnsi="黑体" w:eastAsia="黑体"/>
          <w:b/>
          <w:sz w:val="24"/>
        </w:rPr>
        <w:t>1.2 AIGC进入品牌视频广告创作后带来的新问题</w:t>
      </w:r>
    </w:p>
    <w:p>
      <w:pPr>
        <w:spacing w:line="360" w:lineRule="auto" w:after="0" w:before="0"/>
        <w:ind w:firstLine="480"/>
      </w:pPr>
      <w:r>
        <w:rPr>
          <w:rFonts w:ascii="宋体" w:hAnsi="宋体" w:eastAsia="宋体"/>
          <w:b w:val="0"/>
          <w:sz w:val="24"/>
        </w:rPr>
        <w:t>现有行业实践表明，AIGC能够显著降低视频广告的制作门槛，并强化视觉奇观、场景转换和风格模拟能力。但与此同时，AIGC品牌视频广告也经常面临品牌识别度不足、情感表达单薄、叙事逻辑松散、视觉新奇与品牌意义脱节、平台风格趋同等问题。这说明，AIGC并非只是替代传统制作流程的工具，它还改变了广告中不同模态资源的组织方式，进而影响品牌形象的呈现效果。</w:t>
      </w:r>
    </w:p>
    <w:p>
      <w:pPr>
        <w:spacing w:line="360" w:lineRule="auto" w:after="0" w:before="0"/>
        <w:ind w:firstLine="480"/>
      </w:pPr>
      <w:r>
        <w:rPr>
          <w:rFonts w:ascii="宋体" w:hAnsi="宋体" w:eastAsia="宋体"/>
          <w:b w:val="0"/>
          <w:sz w:val="24"/>
        </w:rPr>
        <w:t>因此，本课题的问题意识不再停留于“AIGC能否用于广告制作”，也不再将重点放在人工广告与AIGC广告的优劣比较上，而是聚焦于一个更具解释力的问题：在AIGC品牌视频广告这一单一研究对象中，语言、视觉、听觉及其协同关系是如何共同呈现品牌形象的？又形成了哪些相对稳定的呈现模式、常见问题与优化方向？</w:t>
      </w:r>
    </w:p>
    <w:p>
      <w:pPr>
        <w:pStyle w:val="Heading2"/>
        <w:spacing w:before="120" w:after="60" w:line="360" w:lineRule="auto"/>
      </w:pPr>
      <w:r>
        <w:rPr>
          <w:rFonts w:ascii="黑体" w:hAnsi="黑体" w:eastAsia="黑体"/>
          <w:b/>
          <w:sz w:val="24"/>
        </w:rPr>
        <w:t>1.3 本课题的学术转化路径</w:t>
      </w:r>
    </w:p>
    <w:p>
      <w:pPr>
        <w:spacing w:line="360" w:lineRule="auto" w:after="0" w:before="0"/>
        <w:ind w:firstLine="480"/>
      </w:pPr>
      <w:r>
        <w:rPr>
          <w:rFonts w:ascii="宋体" w:hAnsi="宋体" w:eastAsia="宋体"/>
          <w:b w:val="0"/>
          <w:sz w:val="24"/>
        </w:rPr>
        <w:t>从表面上看，AIGC品牌视频广告属于技术应用现象；但从广告学与传播学角度看，它本质上涉及品牌意义生产机制的变化。品牌形象并不是广告中的附属元素，而是广告通过多种符号资源反复编码、强化和组织之后形成的意义结果。AIGC进入创作流程后，品牌形象的生成不再只依赖人工导演、摄影、文案和后期团队的经验判断，也越来越受到提示词设计、模型生成逻辑、素材筛选机制和平台传播语境的影响。</w:t>
      </w:r>
    </w:p>
    <w:p>
      <w:pPr>
        <w:spacing w:line="360" w:lineRule="auto" w:after="0" w:before="0"/>
        <w:ind w:firstLine="480"/>
      </w:pPr>
      <w:r>
        <w:rPr>
          <w:rFonts w:ascii="宋体" w:hAnsi="宋体" w:eastAsia="宋体"/>
          <w:b w:val="0"/>
          <w:sz w:val="24"/>
        </w:rPr>
        <w:t>基于此，本研究将现实中的“AIGC品牌视频广告兴起”转化为学术上的“多模态品牌形象呈现问题”。研究不以开发视频生成技术或评价工具效率为目标，而是把AIGC品牌视频广告视为一种新型动态多模态文本，分析其如何调动文字、图像、色彩、音乐、音效、镜头与节奏等资源来呈现品牌意义，并进一步总结其相对稳定的呈现模式。</w:t>
      </w:r>
    </w:p>
    <w:p>
      <w:pPr>
        <w:pStyle w:val="Heading2"/>
        <w:spacing w:before="120" w:after="60" w:line="360" w:lineRule="auto"/>
      </w:pPr>
      <w:r>
        <w:rPr>
          <w:rFonts w:ascii="黑体" w:hAnsi="黑体" w:eastAsia="黑体"/>
          <w:b/>
          <w:sz w:val="24"/>
        </w:rPr>
        <w:t>1.4 选择本课题的指导思想</w:t>
      </w:r>
    </w:p>
    <w:p>
      <w:pPr>
        <w:spacing w:line="360" w:lineRule="auto" w:after="0" w:before="0"/>
        <w:ind w:firstLine="480"/>
      </w:pPr>
      <w:r>
        <w:rPr>
          <w:rFonts w:ascii="宋体" w:hAnsi="宋体" w:eastAsia="宋体"/>
          <w:b w:val="0"/>
          <w:sz w:val="24"/>
        </w:rPr>
        <w:t>本课题以AIGC品牌视频广告为单一研究对象，坚持问题导向、文本导向与品牌导向相结合的研究思路。所谓问题导向，是从“广告文本如何呈现品牌形象”这一核心问题出发组织全文，而非围绕技术背景做宽泛介绍；所谓文本导向，是把视频广告作为动态多模态语篇进行细读和比较，重点分析其内部符号结构；所谓品牌导向，是将分析落脚到广告文本中的品牌形象呈现方式，而不是停留在一般性的内容描述层面。</w:t>
      </w:r>
    </w:p>
    <w:p>
      <w:pPr>
        <w:spacing w:line="360" w:lineRule="auto" w:after="0" w:before="0"/>
        <w:ind w:firstLine="480"/>
      </w:pPr>
      <w:r>
        <w:rPr>
          <w:rFonts w:ascii="宋体" w:hAnsi="宋体" w:eastAsia="宋体"/>
          <w:b w:val="0"/>
          <w:sz w:val="24"/>
        </w:rPr>
        <w:t>在具体研究路径上，本文拟以张德禄多模态话语分析框架为理论支撑，选取具有代表性的AIGC品牌视频广告案例，从语言模态、视觉模态、听觉模态及模态协同关系入手，分析广告文本中品牌形象呈现的具体方式，并在跨案例比较基础上提炼呈现模式、诊断常见问题，形成面向品牌传播实践的优化建议。</w:t>
      </w:r>
    </w:p>
    <w:p>
      <w:pPr>
        <w:pStyle w:val="Heading1"/>
        <w:spacing w:before="120" w:after="60" w:line="360" w:lineRule="auto"/>
      </w:pPr>
      <w:r>
        <w:rPr>
          <w:rFonts w:ascii="黑体" w:hAnsi="黑体" w:eastAsia="黑体"/>
          <w:b/>
          <w:sz w:val="28"/>
        </w:rPr>
        <w:t>二、文献综述</w:t>
      </w:r>
    </w:p>
    <w:p>
      <w:pPr>
        <w:spacing w:line="360" w:lineRule="auto" w:after="0" w:before="0"/>
        <w:ind w:firstLine="480"/>
      </w:pPr>
      <w:r>
        <w:rPr>
          <w:rFonts w:ascii="宋体" w:hAnsi="宋体" w:eastAsia="宋体"/>
          <w:b w:val="0"/>
          <w:sz w:val="24"/>
        </w:rPr>
        <w:t>重新扫描新增论文后可以发现，近年的多模态话语分析论文在文献综述写法上虽然对象不同，但组织逻辑较为稳定：一类是先交代理论基础，再梳理方法应用和具体对象研究；另一类是先分对象研究脉络，再回到多模态方法本身，最后形成综述与切入点。李学娜（2025）围绕“全球传播研究—多模态话语分析研究—多模态话语分析的短视频研究—熊猫频道研究”展开，郑雲哲（2025）则采用“‘洋网红’研究—多模态话语分析研究—交叉研究—平台传播研究”的结构，杨诗（2025）使用“理论基础—国内研究现状—国外研究现状—国内外研究综述”的写法，王紫璇关于非遗文化节目主持人的研究则先梳理多模态话语分析理论，再进入相关应用研究和具体对象研究。参照这些文献综述的常见格式，本文不按作者逐条罗列，而是围绕“方法基础—应用研究—对象研究—问题研究—文献述评”五个层次展开，以保证文献综述既服务研究问题，也能够自然过渡到本文的研究设计。</w:t>
      </w:r>
    </w:p>
    <w:p>
      <w:pPr>
        <w:pStyle w:val="Heading2"/>
        <w:spacing w:before="120" w:after="60" w:line="360" w:lineRule="auto"/>
      </w:pPr>
      <w:r>
        <w:rPr>
          <w:rFonts w:ascii="黑体" w:hAnsi="黑体" w:eastAsia="黑体"/>
          <w:b/>
          <w:sz w:val="24"/>
        </w:rPr>
        <w:t>2.1 多模态话语分析的理论研究</w:t>
      </w:r>
    </w:p>
    <w:p>
      <w:pPr>
        <w:spacing w:line="360" w:lineRule="auto" w:after="0" w:before="0"/>
        <w:ind w:firstLine="480"/>
      </w:pPr>
      <w:r>
        <w:rPr>
          <w:rFonts w:ascii="宋体" w:hAnsi="宋体" w:eastAsia="宋体"/>
          <w:b w:val="0"/>
          <w:sz w:val="24"/>
        </w:rPr>
        <w:t>多模态话语分析的理论研究并不是单一理论的线性延伸，而是由“总体框架+分项分析工具”逐步组合而成。早期话语研究主要以语言符号为中心，随着图像、声音、动作、版式和数字界面在传播中的作用不断增强，研究重点逐渐转向不同模态如何共同参与意义生产。由此，多模态研究不再只回答“文本说了什么”，而是进一步追问“不同符号资源如何分工、互补并协同建构意义”。</w:t>
      </w:r>
    </w:p>
    <w:p>
      <w:pPr>
        <w:spacing w:line="360" w:lineRule="auto" w:after="0" w:before="0"/>
        <w:ind w:firstLine="480"/>
      </w:pPr>
      <w:r>
        <w:rPr>
          <w:rFonts w:ascii="宋体" w:hAnsi="宋体" w:eastAsia="宋体"/>
          <w:b w:val="0"/>
          <w:sz w:val="24"/>
        </w:rPr>
        <w:t>从理论来源看，韩礼德的系统功能语言学为多模态研究提供了最重要的出发点。其三大元功能理论强调，语言同时承担概念功能、人际功能和语篇功能，这一思路为后来把意义分析从语言扩展到图像、声音和动作提供了方法论基础。许多多模态研究正是在元功能视角下理解不同模态的意义承担方式，即考察它们如何共同表征对象、建立关系并组织整体语篇。对于视频广告研究而言，元功能理论尤其有助于分析文案、字幕、旁白和口号如何在信息传达、情感召唤和结构组织中发挥作用。</w:t>
      </w:r>
    </w:p>
    <w:p>
      <w:pPr>
        <w:spacing w:line="360" w:lineRule="auto" w:after="0" w:before="0"/>
        <w:ind w:firstLine="480"/>
      </w:pPr>
      <w:r>
        <w:rPr>
          <w:rFonts w:ascii="宋体" w:hAnsi="宋体" w:eastAsia="宋体"/>
          <w:b w:val="0"/>
          <w:sz w:val="24"/>
        </w:rPr>
        <w:t>Kress和van Leeuwen提出的视觉语法理论，则将元功能思想进一步转化为视觉分析工具。他们把视觉意义概括为再现意义、互动意义和构图意义，使研究者能够从画面主体、视角距离、色彩显著性、信息布局和镜头组织等维度分析图像如何建构意义。对于以画面和镜头推进叙事的视频广告而言，视觉语法不仅能够解释“看到了什么”，更能够解释“为何这样呈现会形成某种品牌感知”，因此已成为动态图像研究中最常见的视觉分析基础之一。</w:t>
      </w:r>
    </w:p>
    <w:p>
      <w:pPr>
        <w:spacing w:line="360" w:lineRule="auto" w:after="0" w:before="0"/>
        <w:ind w:firstLine="480"/>
      </w:pPr>
      <w:r>
        <w:rPr>
          <w:rFonts w:ascii="宋体" w:hAnsi="宋体" w:eastAsia="宋体"/>
          <w:b w:val="0"/>
          <w:sz w:val="24"/>
        </w:rPr>
        <w:t>在国内多模态研究中，张德禄提出的综合分析框架和模态协同理论进一步增强了理论的可操作性。该框架通常从文化层面、语境层面、内容层面和表达层面理解多模态话语的生成过程，并将模态关系理解为互补、强化、协调或非互补等不同状态。与单独分析某一模态相比，这一框架更强调不同模态之间的联动机制，也更适合处理视频、节目、短视频和广告等复杂传播文本。尤其对于动态视听材料而言，它能够把语言、视觉、听觉放在同一分析链条中考察，从而避免只见局部、不见整体。</w:t>
      </w:r>
    </w:p>
    <w:p>
      <w:pPr>
        <w:spacing w:line="360" w:lineRule="auto" w:after="0" w:before="0"/>
        <w:ind w:firstLine="480"/>
      </w:pPr>
      <w:r>
        <w:rPr>
          <w:rFonts w:ascii="宋体" w:hAnsi="宋体" w:eastAsia="宋体"/>
          <w:b w:val="0"/>
          <w:sz w:val="24"/>
        </w:rPr>
        <w:t>从新增硕士论文的写法看，上述理论已经形成相对稳定的组合模式。王紫璇在研究非遗文化节目主持人时，明确将功能语法、视觉语法和模态协同结合起来，并从语言系统、视觉呈现和多模态关系三个层面展开分析，说明当前多模态论文往往不是单引一个理论，而是先用综合框架界定分析层级，再调用具体理论解释不同模态。李学娜（2025）在TikTok熊猫频道研究中，将听觉模态、语言视觉模态、非语言视觉模态与多模态协同、意义建构结合起来，体现出短视频研究对动态模态组合的重视。杨诗（2025）在《中国日报》（海外版）“Culture”栏目研究中，将文字、图像与排版放入同一理论系统中考察，并在理论章节中专门交代理论基础、发展阶段及其适用于本研究的原因。另有多模态硕士论文直接采用“系统功能语言学—视觉语法—张德禄模态协同理论—本文分析框架”的结构，这进一步说明，多模态理论研究在硕士论文中已经形成“总框架统摄、分项工具展开、最终回到本文框架”的较成熟写法。</w:t>
      </w:r>
    </w:p>
    <w:p>
      <w:pPr>
        <w:spacing w:line="360" w:lineRule="auto" w:after="0" w:before="0"/>
        <w:ind w:firstLine="480"/>
      </w:pPr>
      <w:r>
        <w:rPr>
          <w:rFonts w:ascii="宋体" w:hAnsi="宋体" w:eastAsia="宋体"/>
          <w:b w:val="0"/>
          <w:sz w:val="24"/>
        </w:rPr>
        <w:t>据此，本文在理论上不宜仅笼统使用“多模态话语分析”这一统称，而应明确其内部结构：以张德禄多模态话语分析综合框架作为总体框架，以韩礼德三大元功能理论支撑语言模态分析，以视觉语法支撑视觉模态分析，以模态协同理论解释语言、视觉、听觉之间的关系。考虑到本文对象是AIGC品牌视频广告，属于兼具商业诉求、动态图像和多模态协同特征的文本类型，本文还需在既有多模态框架基础上把“内容层”进一步转化为“品牌形象呈现层”，从而使理论分析能够直接服务于后文的编码设计和研究问题展开。</w:t>
      </w:r>
    </w:p>
    <w:p>
      <w:pPr>
        <w:pStyle w:val="Heading2"/>
        <w:spacing w:before="120" w:after="60" w:line="360" w:lineRule="auto"/>
      </w:pPr>
      <w:r>
        <w:rPr>
          <w:rFonts w:ascii="黑体" w:hAnsi="黑体" w:eastAsia="黑体"/>
          <w:b/>
          <w:sz w:val="24"/>
        </w:rPr>
        <w:t>2.2 多模态话语分析在动态视听文本中的应用研究</w:t>
      </w:r>
    </w:p>
    <w:p>
      <w:pPr>
        <w:spacing w:line="360" w:lineRule="auto" w:after="0" w:before="0"/>
        <w:ind w:firstLine="480"/>
      </w:pPr>
      <w:r>
        <w:rPr>
          <w:rFonts w:ascii="宋体" w:hAnsi="宋体" w:eastAsia="宋体"/>
          <w:b w:val="0"/>
          <w:sz w:val="24"/>
        </w:rPr>
        <w:t>从应用层面看，多模态话语分析已广泛用于纪录片、短视频、外宣语篇、文化节目和跨文化传播视频研究。现有研究通常会先从传播语境和交际目的出发，再进入语言、视觉、听觉等模态分析，最后讨论不同模态之间的协同关系及其整体意义效果。这说明，多模态话语分析在动态视听文本研究中已经形成了相对稳定的操作路径。</w:t>
      </w:r>
    </w:p>
    <w:p>
      <w:pPr>
        <w:spacing w:line="360" w:lineRule="auto" w:after="0" w:before="0"/>
        <w:ind w:firstLine="480"/>
      </w:pPr>
      <w:r>
        <w:rPr>
          <w:rFonts w:ascii="宋体" w:hAnsi="宋体" w:eastAsia="宋体"/>
          <w:b w:val="0"/>
          <w:sz w:val="24"/>
        </w:rPr>
        <w:t>新增论文进一步说明了这一点。郑雲哲（2025）选取哔哩哔哩平台五位百万粉级“洋网红”饮食类博主，围绕文字、图像、声音三类模态展开分析，发现视频通常以“美食”作为第一定位，以“洋网红”身份控制主题推进，三种模态以饮食元素为中心形成互补结构，在强化中国饮食文化呈现的同时，也暴露出绝对化表述、文化误读和内容同质化等问题。李学娜（2025）以TikTok熊猫频道为对象，采用分层抽样、音视频剥离编码与内容分析相结合的方法，从听觉模态、语言视觉模态和非语言视觉模态三方面分析240条短视频，认为其多模态协同有助于强化中国文化符号并实现全球传播中的低语境表达，但也存在模态话语同质化、内容叙述浅薄和代际断层等不足。杨诗（2025）进一步将多模态分析拓展到海外传播中的图文报道研究，发现文字、图像和排版的协同能够系统建构积极、立体、发展的中国文化形象，并通过受众调研验证其传播效能。王紫璇则从主持人语言、身体、表情和多模态协同入手，说明多模态研究也可以深入到节目中具体传播者的表达机制。</w:t>
      </w:r>
    </w:p>
    <w:p>
      <w:pPr>
        <w:spacing w:line="360" w:lineRule="auto" w:after="0" w:before="0"/>
        <w:ind w:firstLine="480"/>
      </w:pPr>
      <w:r>
        <w:rPr>
          <w:rFonts w:ascii="宋体" w:hAnsi="宋体" w:eastAsia="宋体"/>
          <w:b w:val="0"/>
          <w:sz w:val="24"/>
        </w:rPr>
        <w:t>综合来看，现有应用研究已经充分证明，多模态话语分析不仅适用于静态图文材料，也能够较稳定地解释动态视频文本中的意义生成过程；而且它常常与内容分析、案例分析甚至受众调查结合使用，具备较强的研究弹性。不过，这些研究对象主要集中于文化传播、国家形象、非遗传播、跨文化传播等公共传播文本，对商业广告特别是AIGC品牌视频广告的直接关注仍相对不足。换言之，多模态话语分析的方法可用性已经得到验证，但其在品牌广告研究中的应用空间尚未被充分展开。</w:t>
      </w:r>
    </w:p>
    <w:p>
      <w:pPr>
        <w:pStyle w:val="Heading2"/>
        <w:spacing w:before="120" w:after="60" w:line="360" w:lineRule="auto"/>
      </w:pPr>
      <w:r>
        <w:rPr>
          <w:rFonts w:ascii="黑体" w:hAnsi="黑体" w:eastAsia="黑体"/>
          <w:b/>
          <w:sz w:val="24"/>
        </w:rPr>
        <w:t>2.3 视频广告与品牌形象建构研究</w:t>
      </w:r>
    </w:p>
    <w:p>
      <w:pPr>
        <w:spacing w:line="360" w:lineRule="auto" w:after="0" w:before="0"/>
        <w:ind w:firstLine="480"/>
      </w:pPr>
      <w:r>
        <w:rPr>
          <w:rFonts w:ascii="宋体" w:hAnsi="宋体" w:eastAsia="宋体"/>
          <w:b w:val="0"/>
          <w:sz w:val="24"/>
        </w:rPr>
        <w:t>视频广告研究是本文的重要对象基础。传统广告内容研究通常围绕广告诉求、叙事结构、人物设置、品牌呈现、情感表达和视听风格等维度展开，这些维度不仅用于描述广告“呈现了什么”，也用于解释广告“为何能够影响受众认知与态度”。从这个意义上说，视频广告本身就是一种典型的多模态传播文本，其传播效果在很大程度上取决于不同模态资源的组织方式。</w:t>
      </w:r>
    </w:p>
    <w:p>
      <w:pPr>
        <w:spacing w:line="360" w:lineRule="auto" w:after="0" w:before="0"/>
        <w:ind w:firstLine="480"/>
      </w:pPr>
      <w:r>
        <w:rPr>
          <w:rFonts w:ascii="宋体" w:hAnsi="宋体" w:eastAsia="宋体"/>
          <w:b w:val="0"/>
          <w:sz w:val="24"/>
        </w:rPr>
        <w:t>新增文献也说明，即便研究进入AIGC阶段，视频广告分析仍离不开内容维度的拆解。Koenigs（2026）在比较三类AI视频生成工具时，将效率、提示词准确性、视觉审美、叙事质量和最终输出质量作为评价标准；Liu与Yim（2026）则把审美性、真实性和创造性视为影响设计者采纳AI视频广告工具的关键内容质量因素。这些研究虽然不直接讨论品牌形象，但已经表明，视频广告研究始终要回到视觉呈现、叙事组织和整体输出质量这些内容层指标。</w:t>
      </w:r>
    </w:p>
    <w:p>
      <w:pPr>
        <w:spacing w:line="360" w:lineRule="auto" w:after="0" w:before="0"/>
        <w:ind w:firstLine="480"/>
      </w:pPr>
      <w:r>
        <w:rPr>
          <w:rFonts w:ascii="宋体" w:hAnsi="宋体" w:eastAsia="宋体"/>
          <w:b w:val="0"/>
          <w:sz w:val="24"/>
        </w:rPr>
        <w:t>品牌形象研究则为本文提供了核心问题意识。已有研究普遍认为，品牌形象并不等同于品牌名称、标识或产品露出的简单呈现，而是由功能认知、情感联结、符号认同和价值表达等多个层面共同构成。Keller（1993）进一步将品牌形象理解为消费者记忆中的品牌联想集合，这意味着广告中的品牌形象不仅取决于品牌名称是否出现，也取决于不同传播线索能否共同支撑稳定且有区隔度的品牌联想。在视频广告中，这种联想往往依赖语言、视觉和听觉资源的同步调动。需要说明的是，由于本文材料仅来自广告文本，品牌形象概念在本文中主要作为判断广告呈现何种品牌意义的分析维度，而不直接推断消费者心智中的品牌联想是否已经形成。由此可见，视频广告研究提供了文本分析的维度基础，品牌形象研究提供了意义判断的核心维度，但现有品牌形象研究大多形成于传统人工创作语境，对广告文本内部的多模态品牌意义生产讨论仍不够细化。</w:t>
      </w:r>
    </w:p>
    <w:p>
      <w:pPr>
        <w:pStyle w:val="Heading2"/>
        <w:spacing w:before="120" w:after="60" w:line="360" w:lineRule="auto"/>
      </w:pPr>
      <w:r>
        <w:rPr>
          <w:rFonts w:ascii="黑体" w:hAnsi="黑体" w:eastAsia="黑体"/>
          <w:b/>
          <w:sz w:val="24"/>
        </w:rPr>
        <w:t>2.4 AIGC视频广告研究</w:t>
      </w:r>
    </w:p>
    <w:p>
      <w:pPr>
        <w:spacing w:line="360" w:lineRule="auto" w:after="0" w:before="0"/>
        <w:ind w:firstLine="480"/>
      </w:pPr>
      <w:r>
        <w:rPr>
          <w:rFonts w:ascii="宋体" w:hAnsi="宋体" w:eastAsia="宋体"/>
          <w:b w:val="0"/>
          <w:sz w:val="24"/>
        </w:rPr>
        <w:t>在上述研究基础上，AIGC视频广告研究近年迅速增长，现有成果大体可以分为三类。</w:t>
      </w:r>
    </w:p>
    <w:p>
      <w:pPr>
        <w:spacing w:line="360" w:lineRule="auto" w:after="0" w:before="0"/>
        <w:ind w:firstLine="480"/>
      </w:pPr>
      <w:r>
        <w:rPr>
          <w:rFonts w:ascii="宋体" w:hAnsi="宋体" w:eastAsia="宋体"/>
          <w:b w:val="0"/>
          <w:sz w:val="24"/>
        </w:rPr>
        <w:t>第一类研究聚焦AIGC在广告中的应用方式、生产流程和行业影响。段淳林、陆昊琪提出，生成式人工智能已由传统创意辅助工具逐渐转变为广告创意的重要参与者；张可（2025）认为，合成广告的发展重构了广告内容生产逻辑和传播模式；闫朋辉、吕正兵则从短视频生产流程出发，讨论了脚本生成、语音合成、影像生成和智能剪辑的一体化趋势；Koenigs（2026）进一步把研究推进到具体AI视频生成器的创作流程比较，考察不同工具在视频广告生产中的效率、提示词准确性与叙事质量差异。这一方向较好解释了AIGC如何进入广告生产。</w:t>
      </w:r>
    </w:p>
    <w:p>
      <w:pPr>
        <w:spacing w:line="360" w:lineRule="auto" w:after="0" w:before="0"/>
        <w:ind w:firstLine="480"/>
      </w:pPr>
      <w:r>
        <w:rPr>
          <w:rFonts w:ascii="宋体" w:hAnsi="宋体" w:eastAsia="宋体"/>
          <w:b w:val="0"/>
          <w:sz w:val="24"/>
        </w:rPr>
        <w:t>第二类研究聚焦AIGC广告的传播效果和受众反应。鲍俊宇（2025）通过情境实验比较AIGC广告与人工设计广告，发现AIGC广告在新奇性上更突出，但在逻辑性、制作精良性、广告记忆、广告态度和购买意愿上显著低于人工设计广告，说明当前研究已经开始从效果层面辨析AIGC广告与传统广告的差异。Baek、Kim与Kim（2026）围绕公益广告中的AI披露问题展开研究，发现披露AI生成内容会降低受众对广告的态度，而感知到的广告可信度在其中发挥中介作用；若受众更倾向把AI理解为“类人”而非“机器”，这种负面影响会有所减弱。这说明真实性、可信度和披露方式已成为AIGC广告研究的重要议题。</w:t>
      </w:r>
    </w:p>
    <w:p>
      <w:pPr>
        <w:spacing w:line="360" w:lineRule="auto" w:after="0" w:before="0"/>
        <w:ind w:firstLine="480"/>
      </w:pPr>
      <w:r>
        <w:rPr>
          <w:rFonts w:ascii="宋体" w:hAnsi="宋体" w:eastAsia="宋体"/>
          <w:b w:val="0"/>
          <w:sz w:val="24"/>
        </w:rPr>
        <w:t>第三类研究聚焦从业者对AI视频广告工具的采纳与评价。Liu与Yim（2026）基于六类主流AI视频生成工具生成的香水广告刺激材料，发现审美性、真实性和创造性都会影响设计者对AI视频广告工具的采用意愿，其中创造性对感知有用性与感知信任的影响最强。这类研究开始重视AIGC广告内容质量本身，但其核心关切仍是工具采纳、工作流程与使用意愿，而不是广告文本内部如何组织品牌意义。</w:t>
      </w:r>
    </w:p>
    <w:p>
      <w:pPr>
        <w:spacing w:line="360" w:lineRule="auto" w:after="0" w:before="0"/>
        <w:ind w:firstLine="480"/>
      </w:pPr>
      <w:r>
        <w:rPr>
          <w:rFonts w:ascii="宋体" w:hAnsi="宋体" w:eastAsia="宋体"/>
          <w:b w:val="0"/>
          <w:sz w:val="24"/>
        </w:rPr>
        <w:t>总体来看，现有AIGC视频广告研究更多在回答“AIGC如何用于广告生产”“AIGC广告与人工广告有何效果差异”以及“从业者如何评价和采用AI工具”等问题，对于AIGC品牌视频广告作为一种多模态文本，其内部如何组织意义、如何呈现品牌形象、如何形成相对稳定的表达策略，仍缺乏更细的文本层分析。</w:t>
      </w:r>
    </w:p>
    <w:p>
      <w:pPr>
        <w:pStyle w:val="Heading2"/>
        <w:spacing w:before="120" w:after="60" w:line="360" w:lineRule="auto"/>
      </w:pPr>
      <w:r>
        <w:rPr>
          <w:rFonts w:ascii="黑体" w:hAnsi="黑体" w:eastAsia="黑体"/>
          <w:b/>
          <w:sz w:val="24"/>
        </w:rPr>
        <w:t>2.5 文献述评与本文切入点</w:t>
      </w:r>
    </w:p>
    <w:p>
      <w:pPr>
        <w:spacing w:line="360" w:lineRule="auto" w:after="0" w:before="0"/>
        <w:ind w:firstLine="480"/>
      </w:pPr>
      <w:r>
        <w:rPr>
          <w:rFonts w:ascii="宋体" w:hAnsi="宋体" w:eastAsia="宋体"/>
          <w:b w:val="0"/>
          <w:sz w:val="24"/>
        </w:rPr>
        <w:t>综合以上文献，现有研究大致形成了三条彼此关联但尚未充分贯通的研究线索。第一条是方法线：多模态话语分析已经形成较成熟的理论基础，并在纪录片、短视频、跨文化传播视频、文化节目和海外传播图文报道中得到较充分应用，证明其具备分析动态视听文本和复杂意义建构的能力。第二条是对象线：视频广告研究和品牌形象研究已经为广告文本分析提供了稳定维度，但相关研究大多建立在传统人工创作语境之中。第三条是问题线：AIGC广告研究已经扩展到技术应用、广告效果、AI披露、工具采纳和内容质量评价，但更多把AI广告视为技术工具、实验刺激或行业现象，而非需要细读的多模态文本。</w:t>
      </w:r>
    </w:p>
    <w:p>
      <w:pPr>
        <w:spacing w:line="360" w:lineRule="auto" w:after="0" w:before="0"/>
        <w:ind w:firstLine="480"/>
      </w:pPr>
      <w:r>
        <w:rPr>
          <w:rFonts w:ascii="宋体" w:hAnsi="宋体" w:eastAsia="宋体"/>
          <w:b w:val="0"/>
          <w:sz w:val="24"/>
        </w:rPr>
        <w:t>据此，现有研究至少存在四点不足。其一，多模态话语分析的应用对象仍以公共传播文本为主，对AIGC品牌视频广告这一商业传播文本关注不足。其二，视频广告研究虽提供了诉求、叙事、人物、视听风格等分析维度，但与多模态话语分析之间的结合还不够紧密。其三，品牌形象研究揭示了功能、情感、符号和价值等关键维度，但较少进入AIGC语境，也较少从语言、视觉、听觉及其协同关系的角度讨论品牌形象呈现与建构方式。其四，AIGC广告研究虽然开始关注真实性、创造性、可信度和工具采纳，但对广告文本内部如何组织品牌意义、如何形成稳定表达策略，仍缺乏系统分析。</w:t>
      </w:r>
    </w:p>
    <w:p>
      <w:pPr>
        <w:spacing w:line="360" w:lineRule="auto" w:after="0" w:before="0"/>
        <w:ind w:firstLine="480"/>
      </w:pPr>
      <w:r>
        <w:rPr>
          <w:rFonts w:ascii="宋体" w:hAnsi="宋体" w:eastAsia="宋体"/>
          <w:b w:val="0"/>
          <w:sz w:val="24"/>
        </w:rPr>
        <w:t>基于此，本文将以AIGC品牌视频广告为单一研究对象，从多模态话语视角考察广告文本中的品牌形象呈现方式，重点分析语言模态、视觉模态、听觉模态及其协同关系如何共同塑造品牌功能形象、情感形象、符号形象和价值形象，并在跨样本比较基础上总结其相对稳定的呈现模式、常见问题和优化方向。本文的意义不在于再次讨论AIGC是否能提高生产效率或引发何种态度反应，而在于补上现有研究在“广告文本内部品牌意义如何被多模态呈现和组织”这一层面的缺口。</w:t>
      </w:r>
    </w:p>
    <w:p>
      <w:pPr>
        <w:pStyle w:val="Heading1"/>
        <w:spacing w:before="120" w:after="60" w:line="360" w:lineRule="auto"/>
      </w:pPr>
      <w:r>
        <w:rPr>
          <w:rFonts w:ascii="黑体" w:hAnsi="黑体" w:eastAsia="黑体"/>
          <w:b/>
          <w:sz w:val="28"/>
        </w:rPr>
        <w:t>三、本课题研究的内容、目的和意义</w:t>
      </w:r>
    </w:p>
    <w:p>
      <w:pPr>
        <w:pStyle w:val="Heading2"/>
        <w:spacing w:before="120" w:after="60" w:line="360" w:lineRule="auto"/>
      </w:pPr>
      <w:r>
        <w:rPr>
          <w:rFonts w:ascii="黑体" w:hAnsi="黑体" w:eastAsia="黑体"/>
          <w:b/>
          <w:sz w:val="24"/>
        </w:rPr>
        <w:t>3.1 本课题研究的内容</w:t>
      </w:r>
    </w:p>
    <w:p>
      <w:pPr>
        <w:spacing w:line="360" w:lineRule="auto" w:after="0" w:before="0"/>
        <w:ind w:firstLine="480"/>
      </w:pPr>
      <w:r>
        <w:rPr>
          <w:rFonts w:ascii="宋体" w:hAnsi="宋体" w:eastAsia="宋体"/>
          <w:b w:val="0"/>
          <w:sz w:val="24"/>
        </w:rPr>
        <w:t>本课题围绕“AIGC品牌视频广告如何在广告文本中呈现品牌形象”这一核心问题展开，主要包括四个方面。</w:t>
      </w:r>
    </w:p>
    <w:p>
      <w:pPr>
        <w:spacing w:line="360" w:lineRule="auto" w:after="0" w:before="0"/>
        <w:ind w:firstLine="480"/>
      </w:pPr>
      <w:r>
        <w:rPr>
          <w:rFonts w:ascii="宋体" w:hAnsi="宋体" w:eastAsia="宋体"/>
          <w:b w:val="0"/>
          <w:sz w:val="24"/>
        </w:rPr>
        <w:t>第一，界定核心概念并建立量化研究框架。本文将对“AIGC品牌视频广告”“广告文本中的品牌形象呈现方式”“多模态资源”等核心概念作工作性界定，并在张德禄多模态话语分析框架基础上，形成适用于本研究的量化编码维度。</w:t>
      </w:r>
    </w:p>
    <w:p>
      <w:pPr>
        <w:spacing w:line="360" w:lineRule="auto" w:after="0" w:before="0"/>
        <w:ind w:firstLine="480"/>
      </w:pPr>
      <w:r>
        <w:rPr>
          <w:rFonts w:ascii="宋体" w:hAnsi="宋体" w:eastAsia="宋体"/>
          <w:b w:val="0"/>
          <w:sz w:val="24"/>
        </w:rPr>
        <w:t>第二，构建AIGC品牌视频广告样本库并开展多模态内容编码。研究将从公开发布的AIGC品牌视频广告中进行目的性抽样，形成研究样本，并围绕语境层、表达层、品牌形象呈现层和模态关系层建立统一编码表。</w:t>
      </w:r>
    </w:p>
    <w:p>
      <w:pPr>
        <w:spacing w:line="360" w:lineRule="auto" w:after="0" w:before="0"/>
        <w:ind w:firstLine="480"/>
      </w:pPr>
      <w:r>
        <w:rPr>
          <w:rFonts w:ascii="宋体" w:hAnsi="宋体" w:eastAsia="宋体"/>
          <w:b w:val="0"/>
          <w:sz w:val="24"/>
        </w:rPr>
        <w:t>第三，对样本进行统计分析并归纳品牌形象呈现模式。研究将通过频数统计、占比分析和交叉分析，考察不同模态资源的使用特征及其组合规律，并在此基础上提炼AIGC品牌视频广告中相对稳定的品牌形象呈现类型。</w:t>
      </w:r>
    </w:p>
    <w:p>
      <w:pPr>
        <w:spacing w:line="360" w:lineRule="auto" w:after="0" w:before="0"/>
        <w:ind w:firstLine="480"/>
      </w:pPr>
      <w:r>
        <w:rPr>
          <w:rFonts w:ascii="宋体" w:hAnsi="宋体" w:eastAsia="宋体"/>
          <w:b w:val="0"/>
          <w:sz w:val="24"/>
        </w:rPr>
        <w:t>第四，在量化结果基础上结合典型案例进行补充解释，进一步诊断当前AIGC品牌视频广告在品牌形象呈现上的常见问题，并提出优化建议。重点关注品牌识别弱化、叙事碎片化、情感表达不足、风格同质化以及技术奇观压过品牌意义等现象。</w:t>
      </w:r>
    </w:p>
    <w:p>
      <w:pPr>
        <w:pStyle w:val="Heading2"/>
        <w:spacing w:before="120" w:after="60" w:line="360" w:lineRule="auto"/>
      </w:pPr>
      <w:r>
        <w:rPr>
          <w:rFonts w:ascii="黑体" w:hAnsi="黑体" w:eastAsia="黑体"/>
          <w:b/>
          <w:sz w:val="24"/>
        </w:rPr>
        <w:t>3.2 本课题研究的目的</w:t>
      </w:r>
    </w:p>
    <w:p>
      <w:pPr>
        <w:spacing w:line="360" w:lineRule="auto" w:after="0" w:before="0"/>
        <w:ind w:firstLine="480"/>
      </w:pPr>
      <w:r>
        <w:rPr>
          <w:rFonts w:ascii="宋体" w:hAnsi="宋体" w:eastAsia="宋体"/>
          <w:b w:val="0"/>
          <w:sz w:val="24"/>
        </w:rPr>
        <w:t>本课题的第一项目的是构建适用于AIGC品牌视频广告研究的量化编码框架，回答这一类广告在多模态资源调动上“呈现了什么”以及“如何呈现”的问题。第二项目的是通过统计分析归纳AIGC品牌视频广告文本中品牌形象呈现的主要分布特征和组合规律，进一步提炼出若干具有解释力的呈现模式。第三项目的是在量化结果和典型案例解释的基础上，为品牌方和创作团队提出更有针对性的优化思路，使AIGC广告创作更好地服务于品牌传播而非止步于视觉展示。</w:t>
      </w:r>
    </w:p>
    <w:p>
      <w:pPr>
        <w:pStyle w:val="Heading2"/>
        <w:spacing w:before="120" w:after="60" w:line="360" w:lineRule="auto"/>
      </w:pPr>
      <w:r>
        <w:rPr>
          <w:rFonts w:ascii="黑体" w:hAnsi="黑体" w:eastAsia="黑体"/>
          <w:b/>
          <w:sz w:val="24"/>
        </w:rPr>
        <w:t>3.3 本课题研究的意义</w:t>
      </w:r>
    </w:p>
    <w:p>
      <w:pPr>
        <w:spacing w:line="360" w:lineRule="auto" w:after="0" w:before="0"/>
        <w:ind w:firstLine="480"/>
      </w:pPr>
      <w:r>
        <w:rPr>
          <w:rFonts w:ascii="宋体" w:hAnsi="宋体" w:eastAsia="宋体"/>
          <w:b w:val="0"/>
          <w:sz w:val="24"/>
        </w:rPr>
        <w:t>本课题兼具理论意义与实践意义。</w:t>
      </w:r>
    </w:p>
    <w:p>
      <w:pPr>
        <w:spacing w:line="360" w:lineRule="auto" w:after="0" w:before="0"/>
        <w:ind w:firstLine="480"/>
      </w:pPr>
      <w:r>
        <w:rPr>
          <w:rFonts w:ascii="宋体" w:hAnsi="宋体" w:eastAsia="宋体"/>
          <w:b w:val="0"/>
          <w:sz w:val="24"/>
        </w:rPr>
        <w:t>在理论层面，第一，研究有助于推动AIGC广告研究由“工具应用”与“传播效果”转向“意义生产”与“广告文本中的品牌形象呈现”，丰富现有研究议题。第二，研究能够将品牌形象研究与多模态话语分析结合起来，为AIGC语境下的视频广告研究提供新的分析框架。第三，研究以动态多模态语篇为对象，有助于拓展广告学与传播学在人工智能内容生产情境中的研究边界。</w:t>
      </w:r>
    </w:p>
    <w:p>
      <w:pPr>
        <w:spacing w:line="360" w:lineRule="auto" w:after="0" w:before="0"/>
        <w:ind w:firstLine="480"/>
      </w:pPr>
      <w:r>
        <w:rPr>
          <w:rFonts w:ascii="宋体" w:hAnsi="宋体" w:eastAsia="宋体"/>
          <w:b w:val="0"/>
          <w:sz w:val="24"/>
        </w:rPr>
        <w:t>在实践层面，第一，研究能够为品牌方理解AIGC视频广告的优势与局限提供参考，避免创作中过度依赖技术奇观而忽视品牌一致性。第二，研究可为AIGC广告创作团队提供更明确的品牌表达思路，提升人机协同创作的有效性。第三，研究通过建立可操作的编码维度和分析路径，有助于推动AIGC品牌视频广告研究从零散观察走向相对系统的经验分析。</w:t>
      </w:r>
    </w:p>
    <w:p>
      <w:pPr>
        <w:pStyle w:val="Heading1"/>
        <w:spacing w:before="120" w:after="60" w:line="360" w:lineRule="auto"/>
      </w:pPr>
      <w:r>
        <w:rPr>
          <w:rFonts w:ascii="黑体" w:hAnsi="黑体" w:eastAsia="黑体"/>
          <w:b/>
          <w:sz w:val="28"/>
        </w:rPr>
        <w:t>四、已有研究条件及研究设计方案</w:t>
      </w:r>
    </w:p>
    <w:p>
      <w:pPr>
        <w:pStyle w:val="Heading2"/>
        <w:spacing w:before="120" w:after="60" w:line="360" w:lineRule="auto"/>
      </w:pPr>
      <w:r>
        <w:rPr>
          <w:rFonts w:ascii="黑体" w:hAnsi="黑体" w:eastAsia="黑体"/>
          <w:b/>
          <w:sz w:val="24"/>
        </w:rPr>
        <w:t>4.1 已有研究条件</w:t>
      </w:r>
    </w:p>
    <w:p>
      <w:pPr>
        <w:spacing w:line="360" w:lineRule="auto" w:after="0" w:before="0"/>
        <w:ind w:firstLine="480"/>
      </w:pPr>
      <w:r>
        <w:rPr>
          <w:rFonts w:ascii="宋体" w:hAnsi="宋体" w:eastAsia="宋体"/>
          <w:b w:val="0"/>
          <w:sz w:val="24"/>
        </w:rPr>
        <w:t>（1）样本资源条件</w:t>
      </w:r>
    </w:p>
    <w:p>
      <w:pPr>
        <w:spacing w:line="360" w:lineRule="auto" w:after="0" w:before="0"/>
        <w:ind w:firstLine="480"/>
      </w:pPr>
      <w:r>
        <w:rPr>
          <w:rFonts w:ascii="宋体" w:hAnsi="宋体" w:eastAsia="宋体"/>
          <w:b w:val="0"/>
          <w:sz w:val="24"/>
        </w:rPr>
        <w:t>本研究所需样本主要来自品牌官方账号、品牌传播平台、主流AIGC视频工具公开案例库以及行业报道中可核验的品牌广告作品。相关视频文本公开可得，便于重复观看、转录、切分和编码，具备开展量化内容分析的基本条件。</w:t>
      </w:r>
    </w:p>
    <w:p>
      <w:pPr>
        <w:spacing w:line="360" w:lineRule="auto" w:after="0" w:before="0"/>
        <w:ind w:firstLine="480"/>
      </w:pPr>
      <w:r>
        <w:rPr>
          <w:rFonts w:ascii="宋体" w:hAnsi="宋体" w:eastAsia="宋体"/>
          <w:b w:val="0"/>
          <w:sz w:val="24"/>
        </w:rPr>
        <w:t>（2）文献与理论条件</w:t>
      </w:r>
    </w:p>
    <w:p>
      <w:pPr>
        <w:spacing w:line="360" w:lineRule="auto" w:after="0" w:before="0"/>
        <w:ind w:firstLine="480"/>
      </w:pPr>
      <w:r>
        <w:rPr>
          <w:rFonts w:ascii="宋体" w:hAnsi="宋体" w:eastAsia="宋体"/>
          <w:b w:val="0"/>
          <w:sz w:val="24"/>
        </w:rPr>
        <w:t>前期已围绕AIGC广告应用、品牌视频广告、品牌形象建构以及多模态话语分析等方向完成初步文献整理，并结合张德禄《多模态话语分析理论与外语教学》提炼出本研究所需的分析层级和模态协同思路。同时，已参考本地多模态硕士论文中“语料库构建—编码表制作—统计分析”的研究设计，为本研究采用量化编码路径提供了方法借鉴。</w:t>
      </w:r>
    </w:p>
    <w:p>
      <w:pPr>
        <w:spacing w:line="360" w:lineRule="auto" w:after="0" w:before="0"/>
        <w:ind w:firstLine="480"/>
      </w:pPr>
      <w:r>
        <w:rPr>
          <w:rFonts w:ascii="宋体" w:hAnsi="宋体" w:eastAsia="宋体"/>
          <w:b w:val="0"/>
          <w:sz w:val="24"/>
        </w:rPr>
        <w:t>（3）技术与软件条件</w:t>
      </w:r>
    </w:p>
    <w:p>
      <w:pPr>
        <w:spacing w:line="360" w:lineRule="auto" w:after="0" w:before="0"/>
        <w:ind w:firstLine="480"/>
      </w:pPr>
      <w:r>
        <w:rPr>
          <w:rFonts w:ascii="宋体" w:hAnsi="宋体" w:eastAsia="宋体"/>
          <w:b w:val="0"/>
          <w:sz w:val="24"/>
        </w:rPr>
        <w:t>本研究拟借助视频抽帧、字幕提取、OCR识别等工具辅助整理原始材料，并使用视频标注软件和统计软件建立样本编码库。前者主要用于镜头切分、字幕转录和多模态标注，后者主要用于编码录入、频数统计、占比分析和交叉分析。</w:t>
      </w:r>
    </w:p>
    <w:p>
      <w:pPr>
        <w:pStyle w:val="Heading2"/>
        <w:spacing w:before="120" w:after="60" w:line="360" w:lineRule="auto"/>
      </w:pPr>
      <w:r>
        <w:rPr>
          <w:rFonts w:ascii="黑体" w:hAnsi="黑体" w:eastAsia="黑体"/>
          <w:b/>
          <w:sz w:val="24"/>
        </w:rPr>
        <w:t>4.2 研究思路、核心概念与研究问题</w:t>
      </w:r>
    </w:p>
    <w:p>
      <w:pPr>
        <w:spacing w:line="360" w:lineRule="auto" w:after="0" w:before="0"/>
        <w:ind w:firstLine="480"/>
      </w:pPr>
      <w:r>
        <w:rPr>
          <w:rFonts w:ascii="宋体" w:hAnsi="宋体" w:eastAsia="宋体"/>
          <w:b w:val="0"/>
          <w:sz w:val="24"/>
        </w:rPr>
        <w:t>本研究的总体思路是：从AIGC品牌视频广告的行业现象出发，构建样本库，建立编码表，对样本进行多模态量化编码，并在统计结果基础上结合典型案例进行补充解释，最终归纳其广告文本中的品牌形象呈现方式及相对稳定的模态组合模式，并提出优化建议。其逻辑链条为：“样本库构建—编码维度确定—预编码与正式编码—统计分析—典型案例解释—模式归纳与问题诊断”。</w:t>
      </w:r>
    </w:p>
    <w:p>
      <w:pPr>
        <w:spacing w:line="360" w:lineRule="auto" w:after="0" w:before="0"/>
        <w:ind w:firstLine="480"/>
      </w:pPr>
      <w:r>
        <w:rPr>
          <w:rFonts w:ascii="宋体" w:hAnsi="宋体" w:eastAsia="宋体"/>
          <w:b w:val="0"/>
          <w:sz w:val="24"/>
        </w:rPr>
        <w:t>在核心概念上，本文作如下工作性界定：其一，AIGC品牌视频广告，指在脚本生成、画面生成、角色塑造、配音配乐或整体合成等关键环节中明确使用生成式人工智能，并以品牌传播为目标的公开视频广告。其二，广告文本中的品牌形象呈现方式，指广告通过多种模态资源的选择、组合和协同来呈现品牌功能、情感、符号和价值意义的相对稳定方式。这里的“品牌形象”主要作为广告文本意义分析的维度，不直接指向受众心智中的品牌联想形成或传播效果。其三，多模态资源，主要包括语言文字、画面构图、色彩风格、角色形象、音乐音效、配音语调、镜头运动与剪辑节奏等。</w:t>
      </w:r>
    </w:p>
    <w:p>
      <w:pPr>
        <w:spacing w:line="360" w:lineRule="auto" w:after="0" w:before="0"/>
        <w:ind w:firstLine="480"/>
      </w:pPr>
      <w:r>
        <w:rPr>
          <w:rFonts w:ascii="宋体" w:hAnsi="宋体" w:eastAsia="宋体"/>
          <w:b w:val="0"/>
          <w:sz w:val="24"/>
        </w:rPr>
        <w:t>在分析框架上，本文采用多模态硕士论文中较常见的“总框架+分项工具”写法，即以张德禄多模态话语分析综合框架作为总体分析框架，以韩礼德三大元功能理论、Kress和van Leeuwen视觉语法以及模态协同理论作为具体分析工具。考虑到本文研究对象是AIGC品牌视频广告，本文在保留多模态研究基本层次的基础上，将其转化为更适合广告文本分析的四层结构：语境层、表达层、品牌形象呈现层和模态关系层。语境层主要对应文化语境和情景语境，识别广告所处的传播场景、诉求导向和品牌传播重心；表达层主要对应表达层分析，编码语言、视觉和听觉资源的具体使用方式；品牌形象呈现层是在张德禄“内容层”基础上的研究性转化，用于判断广告文本重点建构的是功能形象、情感形象、符号形象还是价值形象；模态关系层则用于分析语言、视觉、听觉之间是强化、互补、协调还是弱关联，从而解释品牌意义如何被整体建构。</w:t>
      </w:r>
    </w:p>
    <w:p>
      <w:pPr>
        <w:spacing w:line="360" w:lineRule="auto" w:after="0" w:before="0"/>
        <w:ind w:firstLine="480"/>
      </w:pPr>
      <w:r>
        <w:rPr>
          <w:rFonts w:ascii="宋体" w:hAnsi="宋体" w:eastAsia="宋体"/>
          <w:b w:val="0"/>
          <w:sz w:val="24"/>
        </w:rPr>
        <w:t>表4-1 本文多模态理论分析框架</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360" w:lineRule="auto" w:after="0" w:before="0"/>
              <w:ind w:firstLine="0"/>
              <w:jc w:val="center"/>
            </w:pPr>
            <w:r/>
            <w:r>
              <w:rPr>
                <w:rFonts w:ascii="黑体" w:hAnsi="黑体" w:eastAsia="黑体"/>
                <w:b/>
                <w:sz w:val="21"/>
              </w:rPr>
              <w:t>理论来源</w:t>
            </w:r>
          </w:p>
        </w:tc>
        <w:tc>
          <w:tcPr>
            <w:tcW w:type="dxa" w:w="2160"/>
          </w:tcPr>
          <w:p>
            <w:pPr>
              <w:spacing w:line="360" w:lineRule="auto" w:after="0" w:before="0"/>
              <w:ind w:firstLine="0"/>
              <w:jc w:val="center"/>
            </w:pPr>
            <w:r/>
            <w:r>
              <w:rPr>
                <w:rFonts w:ascii="黑体" w:hAnsi="黑体" w:eastAsia="黑体"/>
                <w:b/>
                <w:sz w:val="21"/>
              </w:rPr>
              <w:t>核心概念</w:t>
            </w:r>
          </w:p>
        </w:tc>
        <w:tc>
          <w:tcPr>
            <w:tcW w:type="dxa" w:w="2160"/>
          </w:tcPr>
          <w:p>
            <w:pPr>
              <w:spacing w:line="360" w:lineRule="auto" w:after="0" w:before="0"/>
              <w:ind w:firstLine="0"/>
              <w:jc w:val="center"/>
            </w:pPr>
            <w:r/>
            <w:r>
              <w:rPr>
                <w:rFonts w:ascii="黑体" w:hAnsi="黑体" w:eastAsia="黑体"/>
                <w:b/>
                <w:sz w:val="21"/>
              </w:rPr>
              <w:t>本文对应层级</w:t>
            </w:r>
          </w:p>
        </w:tc>
        <w:tc>
          <w:tcPr>
            <w:tcW w:type="dxa" w:w="2160"/>
          </w:tcPr>
          <w:p>
            <w:pPr>
              <w:spacing w:line="360" w:lineRule="auto" w:after="0" w:before="0"/>
              <w:ind w:firstLine="0"/>
              <w:jc w:val="center"/>
            </w:pPr>
            <w:r/>
            <w:r>
              <w:rPr>
                <w:rFonts w:ascii="黑体" w:hAnsi="黑体" w:eastAsia="黑体"/>
                <w:b/>
                <w:sz w:val="21"/>
              </w:rPr>
              <w:t>主要观察点</w:t>
            </w:r>
          </w:p>
        </w:tc>
      </w:tr>
      <w:tr>
        <w:tc>
          <w:tcPr>
            <w:tcW w:type="dxa" w:w="2160"/>
          </w:tcPr>
          <w:p>
            <w:pPr>
              <w:spacing w:line="360" w:lineRule="auto" w:after="0" w:before="0"/>
              <w:ind w:firstLine="0"/>
              <w:jc w:val="left"/>
            </w:pPr>
            <w:r/>
            <w:r>
              <w:rPr>
                <w:rFonts w:ascii="宋体" w:hAnsi="宋体" w:eastAsia="宋体"/>
                <w:b w:val="0"/>
                <w:sz w:val="21"/>
              </w:rPr>
              <w:t>张德禄多模态话语分析综合框架</w:t>
            </w:r>
          </w:p>
        </w:tc>
        <w:tc>
          <w:tcPr>
            <w:tcW w:type="dxa" w:w="2160"/>
          </w:tcPr>
          <w:p>
            <w:pPr>
              <w:spacing w:line="360" w:lineRule="auto" w:after="0" w:before="0"/>
              <w:ind w:firstLine="0"/>
              <w:jc w:val="left"/>
            </w:pPr>
            <w:r/>
            <w:r>
              <w:rPr>
                <w:rFonts w:ascii="宋体" w:hAnsi="宋体" w:eastAsia="宋体"/>
                <w:b w:val="0"/>
                <w:sz w:val="21"/>
              </w:rPr>
              <w:t>文化层面、语境层面、内容层面、表达层面</w:t>
            </w:r>
          </w:p>
        </w:tc>
        <w:tc>
          <w:tcPr>
            <w:tcW w:type="dxa" w:w="2160"/>
          </w:tcPr>
          <w:p>
            <w:pPr>
              <w:spacing w:line="360" w:lineRule="auto" w:after="0" w:before="0"/>
              <w:ind w:firstLine="0"/>
              <w:jc w:val="left"/>
            </w:pPr>
            <w:r/>
            <w:r>
              <w:rPr>
                <w:rFonts w:ascii="宋体" w:hAnsi="宋体" w:eastAsia="宋体"/>
                <w:b w:val="0"/>
                <w:sz w:val="21"/>
              </w:rPr>
              <w:t>语境层、品牌形象呈现层、表达层</w:t>
            </w:r>
          </w:p>
        </w:tc>
        <w:tc>
          <w:tcPr>
            <w:tcW w:type="dxa" w:w="2160"/>
          </w:tcPr>
          <w:p>
            <w:pPr>
              <w:spacing w:line="360" w:lineRule="auto" w:after="0" w:before="0"/>
              <w:ind w:firstLine="0"/>
              <w:jc w:val="left"/>
            </w:pPr>
            <w:r/>
            <w:r>
              <w:rPr>
                <w:rFonts w:ascii="宋体" w:hAnsi="宋体" w:eastAsia="宋体"/>
                <w:b w:val="0"/>
                <w:sz w:val="21"/>
              </w:rPr>
              <w:t>广告传播场景、诉求导向、品牌传播重心以及品牌意义的整体组织方式</w:t>
            </w:r>
          </w:p>
        </w:tc>
      </w:tr>
      <w:tr>
        <w:tc>
          <w:tcPr>
            <w:tcW w:type="dxa" w:w="2160"/>
          </w:tcPr>
          <w:p>
            <w:pPr>
              <w:spacing w:line="360" w:lineRule="auto" w:after="0" w:before="0"/>
              <w:ind w:firstLine="0"/>
              <w:jc w:val="left"/>
            </w:pPr>
            <w:r/>
            <w:r>
              <w:rPr>
                <w:rFonts w:ascii="宋体" w:hAnsi="宋体" w:eastAsia="宋体"/>
                <w:b w:val="0"/>
                <w:sz w:val="21"/>
              </w:rPr>
              <w:t>韩礼德三大元功能理论</w:t>
            </w:r>
          </w:p>
        </w:tc>
        <w:tc>
          <w:tcPr>
            <w:tcW w:type="dxa" w:w="2160"/>
          </w:tcPr>
          <w:p>
            <w:pPr>
              <w:spacing w:line="360" w:lineRule="auto" w:after="0" w:before="0"/>
              <w:ind w:firstLine="0"/>
              <w:jc w:val="left"/>
            </w:pPr>
            <w:r/>
            <w:r>
              <w:rPr>
                <w:rFonts w:ascii="宋体" w:hAnsi="宋体" w:eastAsia="宋体"/>
                <w:b w:val="0"/>
                <w:sz w:val="21"/>
              </w:rPr>
              <w:t>概念功能、人际功能、语篇功能</w:t>
            </w:r>
          </w:p>
        </w:tc>
        <w:tc>
          <w:tcPr>
            <w:tcW w:type="dxa" w:w="2160"/>
          </w:tcPr>
          <w:p>
            <w:pPr>
              <w:spacing w:line="360" w:lineRule="auto" w:after="0" w:before="0"/>
              <w:ind w:firstLine="0"/>
              <w:jc w:val="left"/>
            </w:pPr>
            <w:r/>
            <w:r>
              <w:rPr>
                <w:rFonts w:ascii="宋体" w:hAnsi="宋体" w:eastAsia="宋体"/>
                <w:b w:val="0"/>
                <w:sz w:val="21"/>
              </w:rPr>
              <w:t>表达层中的语言模态，兼及品牌形象呈现层</w:t>
            </w:r>
          </w:p>
        </w:tc>
        <w:tc>
          <w:tcPr>
            <w:tcW w:type="dxa" w:w="2160"/>
          </w:tcPr>
          <w:p>
            <w:pPr>
              <w:spacing w:line="360" w:lineRule="auto" w:after="0" w:before="0"/>
              <w:ind w:firstLine="0"/>
              <w:jc w:val="left"/>
            </w:pPr>
            <w:r/>
            <w:r>
              <w:rPr>
                <w:rFonts w:ascii="宋体" w:hAnsi="宋体" w:eastAsia="宋体"/>
                <w:b w:val="0"/>
                <w:sz w:val="21"/>
              </w:rPr>
              <w:t>文案、字幕、旁白、口号如何传达信息、建构情感关系并组织广告叙事</w:t>
            </w:r>
          </w:p>
        </w:tc>
      </w:tr>
      <w:tr>
        <w:tc>
          <w:tcPr>
            <w:tcW w:type="dxa" w:w="2160"/>
          </w:tcPr>
          <w:p>
            <w:pPr>
              <w:spacing w:line="360" w:lineRule="auto" w:after="0" w:before="0"/>
              <w:ind w:firstLine="0"/>
              <w:jc w:val="left"/>
            </w:pPr>
            <w:r/>
            <w:r>
              <w:rPr>
                <w:rFonts w:ascii="宋体" w:hAnsi="宋体" w:eastAsia="宋体"/>
                <w:b w:val="0"/>
                <w:sz w:val="21"/>
              </w:rPr>
              <w:t>Kress和van Leeuwen视觉语法</w:t>
            </w:r>
          </w:p>
        </w:tc>
        <w:tc>
          <w:tcPr>
            <w:tcW w:type="dxa" w:w="2160"/>
          </w:tcPr>
          <w:p>
            <w:pPr>
              <w:spacing w:line="360" w:lineRule="auto" w:after="0" w:before="0"/>
              <w:ind w:firstLine="0"/>
              <w:jc w:val="left"/>
            </w:pPr>
            <w:r/>
            <w:r>
              <w:rPr>
                <w:rFonts w:ascii="宋体" w:hAnsi="宋体" w:eastAsia="宋体"/>
                <w:b w:val="0"/>
                <w:sz w:val="21"/>
              </w:rPr>
              <w:t>再现意义、互动意义、构图意义</w:t>
            </w:r>
          </w:p>
        </w:tc>
        <w:tc>
          <w:tcPr>
            <w:tcW w:type="dxa" w:w="2160"/>
          </w:tcPr>
          <w:p>
            <w:pPr>
              <w:spacing w:line="360" w:lineRule="auto" w:after="0" w:before="0"/>
              <w:ind w:firstLine="0"/>
              <w:jc w:val="left"/>
            </w:pPr>
            <w:r/>
            <w:r>
              <w:rPr>
                <w:rFonts w:ascii="宋体" w:hAnsi="宋体" w:eastAsia="宋体"/>
                <w:b w:val="0"/>
                <w:sz w:val="21"/>
              </w:rPr>
              <w:t>表达层中的视觉模态，兼及品牌形象呈现层</w:t>
            </w:r>
          </w:p>
        </w:tc>
        <w:tc>
          <w:tcPr>
            <w:tcW w:type="dxa" w:w="2160"/>
          </w:tcPr>
          <w:p>
            <w:pPr>
              <w:spacing w:line="360" w:lineRule="auto" w:after="0" w:before="0"/>
              <w:ind w:firstLine="0"/>
              <w:jc w:val="left"/>
            </w:pPr>
            <w:r/>
            <w:r>
              <w:rPr>
                <w:rFonts w:ascii="宋体" w:hAnsi="宋体" w:eastAsia="宋体"/>
                <w:b w:val="0"/>
                <w:sz w:val="21"/>
              </w:rPr>
              <w:t>场景、角色、色彩、镜头、构图和品牌露出如何塑造视觉化品牌意义</w:t>
            </w:r>
          </w:p>
        </w:tc>
      </w:tr>
      <w:tr>
        <w:tc>
          <w:tcPr>
            <w:tcW w:type="dxa" w:w="2160"/>
          </w:tcPr>
          <w:p>
            <w:pPr>
              <w:spacing w:line="360" w:lineRule="auto" w:after="0" w:before="0"/>
              <w:ind w:firstLine="0"/>
              <w:jc w:val="left"/>
            </w:pPr>
            <w:r/>
            <w:r>
              <w:rPr>
                <w:rFonts w:ascii="宋体" w:hAnsi="宋体" w:eastAsia="宋体"/>
                <w:b w:val="0"/>
                <w:sz w:val="21"/>
              </w:rPr>
              <w:t>模态协同理论</w:t>
            </w:r>
          </w:p>
        </w:tc>
        <w:tc>
          <w:tcPr>
            <w:tcW w:type="dxa" w:w="2160"/>
          </w:tcPr>
          <w:p>
            <w:pPr>
              <w:spacing w:line="360" w:lineRule="auto" w:after="0" w:before="0"/>
              <w:ind w:firstLine="0"/>
              <w:jc w:val="left"/>
            </w:pPr>
            <w:r/>
            <w:r>
              <w:rPr>
                <w:rFonts w:ascii="宋体" w:hAnsi="宋体" w:eastAsia="宋体"/>
                <w:b w:val="0"/>
                <w:sz w:val="21"/>
              </w:rPr>
              <w:t>互补、强化、协调、非互补关系</w:t>
            </w:r>
          </w:p>
        </w:tc>
        <w:tc>
          <w:tcPr>
            <w:tcW w:type="dxa" w:w="2160"/>
          </w:tcPr>
          <w:p>
            <w:pPr>
              <w:spacing w:line="360" w:lineRule="auto" w:after="0" w:before="0"/>
              <w:ind w:firstLine="0"/>
              <w:jc w:val="left"/>
            </w:pPr>
            <w:r/>
            <w:r>
              <w:rPr>
                <w:rFonts w:ascii="宋体" w:hAnsi="宋体" w:eastAsia="宋体"/>
                <w:b w:val="0"/>
                <w:sz w:val="21"/>
              </w:rPr>
              <w:t>模态关系层</w:t>
            </w:r>
          </w:p>
        </w:tc>
        <w:tc>
          <w:tcPr>
            <w:tcW w:type="dxa" w:w="2160"/>
          </w:tcPr>
          <w:p>
            <w:pPr>
              <w:spacing w:line="360" w:lineRule="auto" w:after="0" w:before="0"/>
              <w:ind w:firstLine="0"/>
              <w:jc w:val="left"/>
            </w:pPr>
            <w:r/>
            <w:r>
              <w:rPr>
                <w:rFonts w:ascii="宋体" w:hAnsi="宋体" w:eastAsia="宋体"/>
                <w:b w:val="0"/>
                <w:sz w:val="21"/>
              </w:rPr>
              <w:t>语言、视觉、听觉之间如何共同支撑或削弱品牌形象呈现</w:t>
            </w:r>
          </w:p>
        </w:tc>
      </w:tr>
    </w:tbl>
    <w:p>
      <w:pPr>
        <w:spacing w:line="360" w:lineRule="auto" w:after="0" w:before="0"/>
        <w:ind w:firstLine="480"/>
      </w:pPr>
      <w:r>
        <w:rPr>
          <w:rFonts w:ascii="宋体" w:hAnsi="宋体" w:eastAsia="宋体"/>
          <w:b w:val="0"/>
          <w:sz w:val="24"/>
        </w:rPr>
        <w:t>围绕上述界定，本文拟提出以下研究问题：</w:t>
      </w:r>
    </w:p>
    <w:p>
      <w:pPr>
        <w:spacing w:line="360" w:lineRule="auto" w:after="0" w:before="0"/>
        <w:ind w:firstLine="480"/>
      </w:pPr>
      <w:r>
        <w:rPr>
          <w:rFonts w:ascii="宋体" w:hAnsi="宋体" w:eastAsia="宋体"/>
          <w:b w:val="0"/>
          <w:sz w:val="24"/>
        </w:rPr>
        <w:t>RQ1：AIGC品牌视频广告在语境层、表达层、品牌形象呈现层和模态关系层分别呈现出怎样的量化分布特征？</w:t>
      </w:r>
    </w:p>
    <w:p>
      <w:pPr>
        <w:spacing w:line="360" w:lineRule="auto" w:after="0" w:before="0"/>
        <w:ind w:firstLine="480"/>
      </w:pPr>
      <w:r>
        <w:rPr>
          <w:rFonts w:ascii="宋体" w:hAnsi="宋体" w:eastAsia="宋体"/>
          <w:b w:val="0"/>
          <w:sz w:val="24"/>
        </w:rPr>
        <w:t>RQ2：语言、视觉、听觉资源及其协同关系在样本中形成了哪些相对稳定的品牌形象呈现模式？</w:t>
      </w:r>
    </w:p>
    <w:p>
      <w:pPr>
        <w:spacing w:line="360" w:lineRule="auto" w:after="0" w:before="0"/>
        <w:ind w:firstLine="480"/>
      </w:pPr>
      <w:r>
        <w:rPr>
          <w:rFonts w:ascii="宋体" w:hAnsi="宋体" w:eastAsia="宋体"/>
          <w:b w:val="0"/>
          <w:sz w:val="24"/>
        </w:rPr>
        <w:t>RQ3：当前AIGC品牌视频广告在品牌形象呈现上存在哪些常见问题，其优化方向是什么？</w:t>
      </w:r>
    </w:p>
    <w:p>
      <w:pPr>
        <w:pStyle w:val="Heading2"/>
        <w:spacing w:before="120" w:after="60" w:line="360" w:lineRule="auto"/>
      </w:pPr>
      <w:r>
        <w:rPr>
          <w:rFonts w:ascii="黑体" w:hAnsi="黑体" w:eastAsia="黑体"/>
          <w:b/>
          <w:sz w:val="24"/>
        </w:rPr>
        <w:t>4.3 研究对象与样本设计</w:t>
      </w:r>
    </w:p>
    <w:p>
      <w:pPr>
        <w:spacing w:line="360" w:lineRule="auto" w:after="0" w:before="0"/>
        <w:ind w:firstLine="480"/>
      </w:pPr>
      <w:r>
        <w:rPr>
          <w:rFonts w:ascii="宋体" w:hAnsi="宋体" w:eastAsia="宋体"/>
          <w:b w:val="0"/>
          <w:sz w:val="24"/>
        </w:rPr>
        <w:t>本研究的对象明确限定为AIGC品牌视频广告这一单一对象，不再设置“人工广告”与“AIGC广告”的双组比较。这样处理有助于避免研究对象漂移，也更符合本课题的题目与研究目标。</w:t>
      </w:r>
    </w:p>
    <w:p>
      <w:pPr>
        <w:spacing w:line="360" w:lineRule="auto" w:after="0" w:before="0"/>
        <w:ind w:firstLine="480"/>
      </w:pPr>
      <w:r>
        <w:rPr>
          <w:rFonts w:ascii="宋体" w:hAnsi="宋体" w:eastAsia="宋体"/>
          <w:b w:val="0"/>
          <w:sz w:val="24"/>
        </w:rPr>
        <w:t>在总体界定上，本研究所指的总体是2024年1月1日至2026年6月1日期间公开发布、且AIGC参与创作环节可被核验的品牌视频广告。样本采用目的性抽样与热度筛选相结合的方式，从品牌官方发布渠道、主流AIGC平台公开案例库以及权威行业报道中建立候选池，最终拟选取60条AIGC品牌视频广告作为正式研究样本。之所以采用这一规模，是因为其既能满足量化编码和统计归纳的需要，也较符合硕士阶段研究的时间与工作量要求。</w:t>
      </w:r>
    </w:p>
    <w:p>
      <w:pPr>
        <w:spacing w:line="360" w:lineRule="auto" w:after="0" w:before="0"/>
        <w:ind w:firstLine="480"/>
      </w:pPr>
      <w:r>
        <w:rPr>
          <w:rFonts w:ascii="宋体" w:hAnsi="宋体" w:eastAsia="宋体"/>
          <w:b w:val="0"/>
          <w:sz w:val="24"/>
        </w:rPr>
        <w:t>样本纳入标准主要包括：第一，作品必须具有明确的品牌传播属性，而非单纯的AI短片、工具演示或个人练习作品；第二，AIGC参与创作的关键环节可以通过品牌说明、创作者披露、平台案例说明或权威报道获得核验；第三，视频文本完整，可反复观看并适合进行镜头切分、字幕转录和多模态编码；第四，样本尽可能覆盖不同品牌品类、传播平台和表达风格，以增强分析的解释力。样本排除标准主要包括：无法核验AIGC介入方式的作品、非商业属性视频、素材残缺或无法完整获取的视频。</w:t>
      </w:r>
    </w:p>
    <w:p>
      <w:pPr>
        <w:spacing w:line="360" w:lineRule="auto" w:after="0" w:before="0"/>
        <w:ind w:firstLine="480"/>
      </w:pPr>
      <w:r>
        <w:rPr>
          <w:rFonts w:ascii="宋体" w:hAnsi="宋体" w:eastAsia="宋体"/>
          <w:b w:val="0"/>
          <w:sz w:val="24"/>
        </w:rPr>
        <w:t>在研究单位与编码单位上，本文作如下区分：以“单支广告视频”为样本单位和最终统计单位，即每一条广告进入样本库后最终形成一行视频层编码数据；以“镜头/场景片段”及其对应的字幕、配音、音乐与音效片段为编码参照单位，用于提取表达层和模态关系层的信息。具体操作上，先对每支视频进行镜头切分与分层标注，再将片段层观察结果依据统一规则汇总为视频层变量值，进而形成可用于跨样本统计分析的数据表。因此，本文并不按单支广告逐案展开表达层论述，而是按照语言模态、视觉模态、听觉模态及模态关系等统一维度，对全部样本进行比较分析。需要说明的是，本研究属于非概率抽样研究，其统计结果主要用于描述样本特征和归纳表达模式，而不作总体推断意义上的因果或普遍化结论。</w:t>
      </w:r>
    </w:p>
    <w:p>
      <w:pPr>
        <w:pStyle w:val="Heading2"/>
        <w:spacing w:before="120" w:after="60" w:line="360" w:lineRule="auto"/>
      </w:pPr>
      <w:r>
        <w:rPr>
          <w:rFonts w:ascii="黑体" w:hAnsi="黑体" w:eastAsia="黑体"/>
          <w:b/>
          <w:sz w:val="24"/>
        </w:rPr>
        <w:t>4.4 研究方法</w:t>
      </w:r>
    </w:p>
    <w:p>
      <w:pPr>
        <w:spacing w:line="360" w:lineRule="auto" w:after="0" w:before="0"/>
        <w:ind w:firstLine="480"/>
      </w:pPr>
      <w:r>
        <w:rPr>
          <w:rFonts w:ascii="宋体" w:hAnsi="宋体" w:eastAsia="宋体"/>
          <w:b w:val="0"/>
          <w:sz w:val="24"/>
        </w:rPr>
        <w:t>本研究主要采用以下方法。</w:t>
      </w:r>
    </w:p>
    <w:p>
      <w:pPr>
        <w:spacing w:line="360" w:lineRule="auto" w:after="0" w:before="0"/>
        <w:ind w:firstLine="480"/>
      </w:pPr>
      <w:r>
        <w:rPr>
          <w:rFonts w:ascii="宋体" w:hAnsi="宋体" w:eastAsia="宋体"/>
          <w:b w:val="0"/>
          <w:sz w:val="24"/>
        </w:rPr>
        <w:t>第一，文献分析法。用于梳理AIGC广告研究、品牌形象研究与多模态话语分析的已有成果，明确研究缺口并搭建理论框架。</w:t>
      </w:r>
    </w:p>
    <w:p>
      <w:pPr>
        <w:spacing w:line="360" w:lineRule="auto" w:after="0" w:before="0"/>
        <w:ind w:firstLine="480"/>
      </w:pPr>
      <w:r>
        <w:rPr>
          <w:rFonts w:ascii="宋体" w:hAnsi="宋体" w:eastAsia="宋体"/>
          <w:b w:val="0"/>
          <w:sz w:val="24"/>
        </w:rPr>
        <w:t>第二，内容分析法。以AIGC品牌视频广告为研究文本，对其多模态资源进行系统编码和分类，通过量化方式考察广告文本中的稳定特征。由于本研究关注的是广告文本中的品牌形象如何被呈现，内容分析法能够较好实现从文本观察到统计归纳的转换。这里的重点不是逐条广告分别撰写表达分析，而是在统一编码框架下对全体样本的模态特征进行跨案例比较。</w:t>
      </w:r>
    </w:p>
    <w:p>
      <w:pPr>
        <w:spacing w:line="360" w:lineRule="auto" w:after="0" w:before="0"/>
        <w:ind w:firstLine="480"/>
      </w:pPr>
      <w:r>
        <w:rPr>
          <w:rFonts w:ascii="宋体" w:hAnsi="宋体" w:eastAsia="宋体"/>
          <w:b w:val="0"/>
          <w:sz w:val="24"/>
        </w:rPr>
        <w:t>第三，多模态语料辅助编码法。研究拟借助视频标注工具对样本进行转录、切分和分层标注，将字幕、画面、声音和镜头等信息整理为可统计的编码材料。该方法吸收多模态硕士论文中“语料库辅助分析”的设计思路，但本研究以品牌广告为对象，重点服务于编码和统计，而非纯语料库语言学研究。也就是说，片段层标注主要承担“提取变量”的功能，正式进入统计分析时仍以汇总后的视频层变量为准。</w:t>
      </w:r>
    </w:p>
    <w:p>
      <w:pPr>
        <w:spacing w:line="360" w:lineRule="auto" w:after="0" w:before="0"/>
        <w:ind w:firstLine="480"/>
      </w:pPr>
      <w:r>
        <w:rPr>
          <w:rFonts w:ascii="宋体" w:hAnsi="宋体" w:eastAsia="宋体"/>
          <w:b w:val="0"/>
          <w:sz w:val="24"/>
        </w:rPr>
        <w:t>第四，描述性统计与交叉分析法。对正式样本的编码结果进行频数统计、占比分析和交叉比较，呈现AIGC品牌视频广告在模态使用和品牌形象呈现方面的分布规律，并据此初步归纳不同的呈现模式。</w:t>
      </w:r>
    </w:p>
    <w:p>
      <w:pPr>
        <w:spacing w:line="360" w:lineRule="auto" w:after="0" w:before="0"/>
        <w:ind w:firstLine="480"/>
      </w:pPr>
      <w:r>
        <w:rPr>
          <w:rFonts w:ascii="宋体" w:hAnsi="宋体" w:eastAsia="宋体"/>
          <w:b w:val="0"/>
          <w:sz w:val="24"/>
        </w:rPr>
        <w:t>第五，典型案例补充分析法。在量化结果基础上，选取具有代表性的个案对统计结果进行解释，避免仅有数字而缺乏文本意义分析。这样可以形成“量化编码为主、定性解释为辅”的研究路径。</w:t>
      </w:r>
    </w:p>
    <w:p>
      <w:pPr>
        <w:pStyle w:val="Heading2"/>
        <w:spacing w:before="120" w:after="60" w:line="360" w:lineRule="auto"/>
      </w:pPr>
      <w:r>
        <w:rPr>
          <w:rFonts w:ascii="黑体" w:hAnsi="黑体" w:eastAsia="黑体"/>
          <w:b/>
          <w:sz w:val="24"/>
        </w:rPr>
        <w:t>4.5 分析维度与操作化思路</w:t>
      </w:r>
    </w:p>
    <w:p>
      <w:pPr>
        <w:spacing w:line="360" w:lineRule="auto" w:after="0" w:before="0"/>
        <w:ind w:firstLine="480"/>
      </w:pPr>
      <w:r>
        <w:rPr>
          <w:rFonts w:ascii="宋体" w:hAnsi="宋体" w:eastAsia="宋体"/>
          <w:b w:val="0"/>
          <w:sz w:val="24"/>
        </w:rPr>
        <w:t>本研究拟借鉴量化编码研究的思路，围绕五个层级建立编码表，并将变量尽可能转化为可统计的类别指标、顺序指标和少量比例指标。需要特别说明的是，本文虽然以单支广告作为样本单位，但表达层并不采用“逐案拆开写”的分析方式，而是先借助片段层标注提取变量，再把结果汇总为视频层数据，最后按统一模态维度对全部样本展开统计比较。</w:t>
      </w:r>
    </w:p>
    <w:p>
      <w:pPr>
        <w:spacing w:line="360" w:lineRule="auto" w:after="0" w:before="0"/>
        <w:ind w:firstLine="480"/>
      </w:pPr>
      <w:r>
        <w:rPr>
          <w:rFonts w:ascii="宋体" w:hAnsi="宋体" w:eastAsia="宋体"/>
          <w:b w:val="0"/>
          <w:sz w:val="24"/>
        </w:rPr>
        <w:t>第一，基础信息变量。主要包括发布时间、传播平台、品牌品类、视频时长、AIGC披露方式等，用于描述样本基本构成并控制样本边界。</w:t>
      </w:r>
    </w:p>
    <w:p>
      <w:pPr>
        <w:spacing w:line="360" w:lineRule="auto" w:after="0" w:before="0"/>
        <w:ind w:firstLine="480"/>
      </w:pPr>
      <w:r>
        <w:rPr>
          <w:rFonts w:ascii="宋体" w:hAnsi="宋体" w:eastAsia="宋体"/>
          <w:b w:val="0"/>
          <w:sz w:val="24"/>
        </w:rPr>
        <w:t>第二，语境层变量。主要包括广告目标类型、诉求导向、传播场景和品牌传播重心等。广告目标类型可分为品牌形象传播、产品推广、节日营销和事件传播；诉求导向可分为功能诉求、情感诉求、符号诉求、价值诉求和复合诉求；传播场景可分为信息流传播、官方发布、社交扩散等类别。该层变量主要用于回答样本处于何种传播语境。</w:t>
      </w:r>
    </w:p>
    <w:p>
      <w:pPr>
        <w:spacing w:line="360" w:lineRule="auto" w:after="0" w:before="0"/>
        <w:ind w:firstLine="480"/>
      </w:pPr>
      <w:r>
        <w:rPr>
          <w:rFonts w:ascii="宋体" w:hAnsi="宋体" w:eastAsia="宋体"/>
          <w:b w:val="0"/>
          <w:sz w:val="24"/>
        </w:rPr>
        <w:t>第三，表达层变量。该层是本研究的核心编码部分，分为语言模态、视觉模态和听觉模态三类。语言模态主要编码品牌名称是否显性出现、品牌口号是否出现、字幕密度、叙事文本类型和情感措辞倾向；视觉模态主要编码主导场景类型、主体形象类型、色彩基调、镜头节奏、品牌标识露出方式、产品露出强度和AIGC奇观化程度；听觉模态主要编码人声类型、音乐风格、音效使用强度和声音节奏特征。该层用于呈现AIGC品牌视频广告具体“如何表达”，但其分析呈现方式是按模态维度对全部样本进行统一统计，而不是逐支广告分别展开描述。</w:t>
      </w:r>
    </w:p>
    <w:p>
      <w:pPr>
        <w:spacing w:line="360" w:lineRule="auto" w:after="0" w:before="0"/>
        <w:ind w:firstLine="480"/>
      </w:pPr>
      <w:r>
        <w:rPr>
          <w:rFonts w:ascii="宋体" w:hAnsi="宋体" w:eastAsia="宋体"/>
          <w:b w:val="0"/>
          <w:sz w:val="24"/>
        </w:rPr>
        <w:t>第四，品牌形象呈现层变量。参考品牌形象研究成果，将广告文本中主要呈现的品牌形象划分为功能形象、情感形象、符号形象和价值形象四类，并记录各类形象在单支广告中的突出程度。编码时可采用“未突出、一般突出、显著突出”的顺序尺度，以便后续统计其分布情况。</w:t>
      </w:r>
    </w:p>
    <w:p>
      <w:pPr>
        <w:spacing w:line="360" w:lineRule="auto" w:after="0" w:before="0"/>
        <w:ind w:firstLine="480"/>
      </w:pPr>
      <w:r>
        <w:rPr>
          <w:rFonts w:ascii="宋体" w:hAnsi="宋体" w:eastAsia="宋体"/>
          <w:b w:val="0"/>
          <w:sz w:val="24"/>
        </w:rPr>
        <w:t>第五，模态关系层变量。重点编码语言与视觉、视觉与听觉、语言与听觉之间的关系类型，可初步划分为强化关系、互补关系、协调关系和弱关联关系；同时增加“整体模态协调度”这一顺序变量，用于判断广告整体表达是否连贯。该层主要用于识别不同模态如何共同支撑品牌形象呈现。</w:t>
      </w:r>
    </w:p>
    <w:p>
      <w:pPr>
        <w:spacing w:line="360" w:lineRule="auto" w:after="0" w:before="0"/>
        <w:ind w:firstLine="480"/>
      </w:pPr>
      <w:r>
        <w:rPr>
          <w:rFonts w:ascii="宋体" w:hAnsi="宋体" w:eastAsia="宋体"/>
          <w:b w:val="0"/>
          <w:sz w:val="24"/>
        </w:rPr>
        <w:t>在测量尺度上，本研究主要采用名义尺度和顺序尺度，少量涉及时长占比、品牌首次出现时间占比等指标时采用比例值记录。通过这一设计，既能保证编码的可操作性，又能与后续描述性统计和交叉分析相匹配。</w:t>
      </w:r>
    </w:p>
    <w:p>
      <w:pPr>
        <w:spacing w:line="360" w:lineRule="auto" w:after="0" w:before="0"/>
        <w:ind w:firstLine="480"/>
      </w:pPr>
      <w:r>
        <w:rPr>
          <w:rFonts w:ascii="宋体" w:hAnsi="宋体" w:eastAsia="宋体"/>
          <w:b w:val="0"/>
          <w:sz w:val="24"/>
        </w:rPr>
        <w:t>为使正式编码更接近多模态研究硕士论文中常见的内容分析写法，本文进一步形成统一编码表，并在正式录入时为每一变量设置对应的变量名、赋值说明和测量尺度，见表4-2。</w:t>
      </w:r>
    </w:p>
    <w:p>
      <w:pPr>
        <w:spacing w:line="360" w:lineRule="auto" w:after="0" w:before="0"/>
        <w:ind w:firstLine="480"/>
      </w:pPr>
      <w:r>
        <w:rPr>
          <w:rFonts w:ascii="宋体" w:hAnsi="宋体" w:eastAsia="宋体"/>
          <w:b w:val="0"/>
          <w:sz w:val="24"/>
        </w:rPr>
        <w:t>表4-2 AIGC品牌视频广告多模态编码变量与赋值说明</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360" w:lineRule="auto" w:after="0" w:before="0"/>
              <w:ind w:firstLine="0"/>
              <w:jc w:val="center"/>
            </w:pPr>
            <w:r/>
            <w:r>
              <w:rPr>
                <w:rFonts w:ascii="黑体" w:hAnsi="黑体" w:eastAsia="黑体"/>
                <w:b/>
                <w:sz w:val="21"/>
              </w:rPr>
              <w:t>编码层级</w:t>
            </w:r>
          </w:p>
        </w:tc>
        <w:tc>
          <w:tcPr>
            <w:tcW w:type="dxa" w:w="1728"/>
          </w:tcPr>
          <w:p>
            <w:pPr>
              <w:spacing w:line="360" w:lineRule="auto" w:after="0" w:before="0"/>
              <w:ind w:firstLine="0"/>
              <w:jc w:val="center"/>
            </w:pPr>
            <w:r/>
            <w:r>
              <w:rPr>
                <w:rFonts w:ascii="黑体" w:hAnsi="黑体" w:eastAsia="黑体"/>
                <w:b/>
                <w:sz w:val="21"/>
              </w:rPr>
              <w:t>变量名称</w:t>
            </w:r>
          </w:p>
        </w:tc>
        <w:tc>
          <w:tcPr>
            <w:tcW w:type="dxa" w:w="1728"/>
          </w:tcPr>
          <w:p>
            <w:pPr>
              <w:spacing w:line="360" w:lineRule="auto" w:after="0" w:before="0"/>
              <w:ind w:firstLine="0"/>
              <w:jc w:val="center"/>
            </w:pPr>
            <w:r/>
            <w:r>
              <w:rPr>
                <w:rFonts w:ascii="黑体" w:hAnsi="黑体" w:eastAsia="黑体"/>
                <w:b/>
                <w:sz w:val="21"/>
              </w:rPr>
              <w:t>指标说明</w:t>
            </w:r>
          </w:p>
        </w:tc>
        <w:tc>
          <w:tcPr>
            <w:tcW w:type="dxa" w:w="1728"/>
          </w:tcPr>
          <w:p>
            <w:pPr>
              <w:spacing w:line="360" w:lineRule="auto" w:after="0" w:before="0"/>
              <w:ind w:firstLine="0"/>
              <w:jc w:val="center"/>
            </w:pPr>
            <w:r/>
            <w:r>
              <w:rPr>
                <w:rFonts w:ascii="黑体" w:hAnsi="黑体" w:eastAsia="黑体"/>
                <w:b/>
                <w:sz w:val="21"/>
              </w:rPr>
              <w:t>赋值方式</w:t>
            </w:r>
          </w:p>
        </w:tc>
        <w:tc>
          <w:tcPr>
            <w:tcW w:type="dxa" w:w="1728"/>
          </w:tcPr>
          <w:p>
            <w:pPr>
              <w:spacing w:line="360" w:lineRule="auto" w:after="0" w:before="0"/>
              <w:ind w:firstLine="0"/>
              <w:jc w:val="center"/>
            </w:pPr>
            <w:r/>
            <w:r>
              <w:rPr>
                <w:rFonts w:ascii="黑体" w:hAnsi="黑体" w:eastAsia="黑体"/>
                <w:b/>
                <w:sz w:val="21"/>
              </w:rPr>
              <w:t>测量尺度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V1 发布时间</w:t>
            </w:r>
          </w:p>
        </w:tc>
        <w:tc>
          <w:tcPr>
            <w:tcW w:type="dxa" w:w="1728"/>
          </w:tcPr>
          <w:p>
            <w:pPr>
              <w:spacing w:line="360" w:lineRule="auto" w:after="0" w:before="0"/>
              <w:ind w:firstLine="0"/>
              <w:jc w:val="left"/>
            </w:pPr>
            <w:r/>
            <w:r>
              <w:rPr>
                <w:rFonts w:ascii="宋体" w:hAnsi="宋体" w:eastAsia="宋体"/>
                <w:b w:val="0"/>
                <w:sz w:val="21"/>
              </w:rPr>
              <w:t>记录视频首次公开发布时间</w:t>
            </w:r>
          </w:p>
        </w:tc>
        <w:tc>
          <w:tcPr>
            <w:tcW w:type="dxa" w:w="1728"/>
          </w:tcPr>
          <w:p>
            <w:pPr>
              <w:spacing w:line="360" w:lineRule="auto" w:after="0" w:before="0"/>
              <w:ind w:firstLine="0"/>
              <w:jc w:val="left"/>
            </w:pPr>
            <w:r/>
            <w:r>
              <w:rPr>
                <w:rFonts w:ascii="宋体" w:hAnsi="宋体" w:eastAsia="宋体"/>
                <w:b w:val="0"/>
                <w:sz w:val="21"/>
              </w:rPr>
              <w:t>按“年-月-日”录入</w:t>
            </w:r>
          </w:p>
        </w:tc>
        <w:tc>
          <w:tcPr>
            <w:tcW w:type="dxa" w:w="1728"/>
          </w:tcPr>
          <w:p>
            <w:pPr>
              <w:spacing w:line="360" w:lineRule="auto" w:after="0" w:before="0"/>
              <w:ind w:firstLine="0"/>
              <w:jc w:val="left"/>
            </w:pPr>
            <w:r/>
            <w:r>
              <w:rPr>
                <w:rFonts w:ascii="宋体" w:hAnsi="宋体" w:eastAsia="宋体"/>
                <w:b w:val="0"/>
                <w:sz w:val="21"/>
              </w:rPr>
              <w:t>比例尺度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V2 传播平台</w:t>
            </w:r>
          </w:p>
        </w:tc>
        <w:tc>
          <w:tcPr>
            <w:tcW w:type="dxa" w:w="1728"/>
          </w:tcPr>
          <w:p>
            <w:pPr>
              <w:spacing w:line="360" w:lineRule="auto" w:after="0" w:before="0"/>
              <w:ind w:firstLine="0"/>
              <w:jc w:val="left"/>
            </w:pPr>
            <w:r/>
            <w:r>
              <w:rPr>
                <w:rFonts w:ascii="宋体" w:hAnsi="宋体" w:eastAsia="宋体"/>
                <w:b w:val="0"/>
                <w:sz w:val="21"/>
              </w:rPr>
              <w:t>识别样本发布或主要传播平台</w:t>
            </w:r>
          </w:p>
        </w:tc>
        <w:tc>
          <w:tcPr>
            <w:tcW w:type="dxa" w:w="1728"/>
          </w:tcPr>
          <w:p>
            <w:pPr>
              <w:spacing w:line="360" w:lineRule="auto" w:after="0" w:before="0"/>
              <w:ind w:firstLine="0"/>
              <w:jc w:val="left"/>
            </w:pPr>
            <w:r/>
            <w:r>
              <w:rPr>
                <w:rFonts w:ascii="宋体" w:hAnsi="宋体" w:eastAsia="宋体"/>
                <w:b w:val="0"/>
                <w:sz w:val="21"/>
              </w:rPr>
              <w:t>抖音/快手/B站/视频号/微博/小红书/品牌官网或电商平台/其他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V3 品牌品类</w:t>
            </w:r>
          </w:p>
        </w:tc>
        <w:tc>
          <w:tcPr>
            <w:tcW w:type="dxa" w:w="1728"/>
          </w:tcPr>
          <w:p>
            <w:pPr>
              <w:spacing w:line="360" w:lineRule="auto" w:after="0" w:before="0"/>
              <w:ind w:firstLine="0"/>
              <w:jc w:val="left"/>
            </w:pPr>
            <w:r/>
            <w:r>
              <w:rPr>
                <w:rFonts w:ascii="宋体" w:hAnsi="宋体" w:eastAsia="宋体"/>
                <w:b w:val="0"/>
                <w:sz w:val="21"/>
              </w:rPr>
              <w:t>识别广告所属行业类别</w:t>
            </w:r>
          </w:p>
        </w:tc>
        <w:tc>
          <w:tcPr>
            <w:tcW w:type="dxa" w:w="1728"/>
          </w:tcPr>
          <w:p>
            <w:pPr>
              <w:spacing w:line="360" w:lineRule="auto" w:after="0" w:before="0"/>
              <w:ind w:firstLine="0"/>
              <w:jc w:val="left"/>
            </w:pPr>
            <w:r/>
            <w:r>
              <w:rPr>
                <w:rFonts w:ascii="宋体" w:hAnsi="宋体" w:eastAsia="宋体"/>
                <w:b w:val="0"/>
                <w:sz w:val="21"/>
              </w:rPr>
              <w:t>美妆个护/食品饮料/汽车/3C数码/文旅文创/互联网服务/家居家电/其他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V4 视频时长</w:t>
            </w:r>
          </w:p>
        </w:tc>
        <w:tc>
          <w:tcPr>
            <w:tcW w:type="dxa" w:w="1728"/>
          </w:tcPr>
          <w:p>
            <w:pPr>
              <w:spacing w:line="360" w:lineRule="auto" w:after="0" w:before="0"/>
              <w:ind w:firstLine="0"/>
              <w:jc w:val="left"/>
            </w:pPr>
            <w:r/>
            <w:r>
              <w:rPr>
                <w:rFonts w:ascii="宋体" w:hAnsi="宋体" w:eastAsia="宋体"/>
                <w:b w:val="0"/>
                <w:sz w:val="21"/>
              </w:rPr>
              <w:t>统计单支广告总时长</w:t>
            </w:r>
          </w:p>
        </w:tc>
        <w:tc>
          <w:tcPr>
            <w:tcW w:type="dxa" w:w="1728"/>
          </w:tcPr>
          <w:p>
            <w:pPr>
              <w:spacing w:line="360" w:lineRule="auto" w:after="0" w:before="0"/>
              <w:ind w:firstLine="0"/>
              <w:jc w:val="left"/>
            </w:pPr>
            <w:r/>
            <w:r>
              <w:rPr>
                <w:rFonts w:ascii="宋体" w:hAnsi="宋体" w:eastAsia="宋体"/>
                <w:b w:val="0"/>
                <w:sz w:val="21"/>
              </w:rPr>
              <w:t>按秒录入</w:t>
            </w:r>
          </w:p>
        </w:tc>
        <w:tc>
          <w:tcPr>
            <w:tcW w:type="dxa" w:w="1728"/>
          </w:tcPr>
          <w:p>
            <w:pPr>
              <w:spacing w:line="360" w:lineRule="auto" w:after="0" w:before="0"/>
              <w:ind w:firstLine="0"/>
              <w:jc w:val="left"/>
            </w:pPr>
            <w:r/>
            <w:r>
              <w:rPr>
                <w:rFonts w:ascii="宋体" w:hAnsi="宋体" w:eastAsia="宋体"/>
                <w:b w:val="0"/>
                <w:sz w:val="21"/>
              </w:rPr>
              <w:t>比例尺度</w:t>
            </w:r>
          </w:p>
        </w:tc>
      </w:tr>
      <w:tr>
        <w:tc>
          <w:tcPr>
            <w:tcW w:type="dxa" w:w="1728"/>
          </w:tcPr>
          <w:p>
            <w:pPr>
              <w:spacing w:line="360" w:lineRule="auto" w:after="0" w:before="0"/>
              <w:ind w:firstLine="0"/>
              <w:jc w:val="left"/>
            </w:pPr>
            <w:r/>
            <w:r>
              <w:rPr>
                <w:rFonts w:ascii="宋体" w:hAnsi="宋体" w:eastAsia="宋体"/>
                <w:b w:val="0"/>
                <w:sz w:val="21"/>
              </w:rPr>
              <w:t>基础信息层</w:t>
            </w:r>
          </w:p>
        </w:tc>
        <w:tc>
          <w:tcPr>
            <w:tcW w:type="dxa" w:w="1728"/>
          </w:tcPr>
          <w:p>
            <w:pPr>
              <w:spacing w:line="360" w:lineRule="auto" w:after="0" w:before="0"/>
              <w:ind w:firstLine="0"/>
              <w:jc w:val="left"/>
            </w:pPr>
            <w:r/>
            <w:r>
              <w:rPr>
                <w:rFonts w:ascii="宋体" w:hAnsi="宋体" w:eastAsia="宋体"/>
                <w:b w:val="0"/>
                <w:sz w:val="21"/>
              </w:rPr>
              <w:t>V5 AIGC披露方式</w:t>
            </w:r>
          </w:p>
        </w:tc>
        <w:tc>
          <w:tcPr>
            <w:tcW w:type="dxa" w:w="1728"/>
          </w:tcPr>
          <w:p>
            <w:pPr>
              <w:spacing w:line="360" w:lineRule="auto" w:after="0" w:before="0"/>
              <w:ind w:firstLine="0"/>
              <w:jc w:val="left"/>
            </w:pPr>
            <w:r/>
            <w:r>
              <w:rPr>
                <w:rFonts w:ascii="宋体" w:hAnsi="宋体" w:eastAsia="宋体"/>
                <w:b w:val="0"/>
                <w:sz w:val="21"/>
              </w:rPr>
              <w:t>记录样本中AIGC属性的可核验方式</w:t>
            </w:r>
          </w:p>
        </w:tc>
        <w:tc>
          <w:tcPr>
            <w:tcW w:type="dxa" w:w="1728"/>
          </w:tcPr>
          <w:p>
            <w:pPr>
              <w:spacing w:line="360" w:lineRule="auto" w:after="0" w:before="0"/>
              <w:ind w:firstLine="0"/>
              <w:jc w:val="left"/>
            </w:pPr>
            <w:r/>
            <w:r>
              <w:rPr>
                <w:rFonts w:ascii="宋体" w:hAnsi="宋体" w:eastAsia="宋体"/>
                <w:b w:val="0"/>
                <w:sz w:val="21"/>
              </w:rPr>
              <w:t>明示AIGC/品牌说明或媒体报道证实/无明确披露但可间接判断</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V6 广告目标类型</w:t>
            </w:r>
          </w:p>
        </w:tc>
        <w:tc>
          <w:tcPr>
            <w:tcW w:type="dxa" w:w="1728"/>
          </w:tcPr>
          <w:p>
            <w:pPr>
              <w:spacing w:line="360" w:lineRule="auto" w:after="0" w:before="0"/>
              <w:ind w:firstLine="0"/>
              <w:jc w:val="left"/>
            </w:pPr>
            <w:r/>
            <w:r>
              <w:rPr>
                <w:rFonts w:ascii="宋体" w:hAnsi="宋体" w:eastAsia="宋体"/>
                <w:b w:val="0"/>
                <w:sz w:val="21"/>
              </w:rPr>
              <w:t>判断广告传播的主要目标</w:t>
            </w:r>
          </w:p>
        </w:tc>
        <w:tc>
          <w:tcPr>
            <w:tcW w:type="dxa" w:w="1728"/>
          </w:tcPr>
          <w:p>
            <w:pPr>
              <w:spacing w:line="360" w:lineRule="auto" w:after="0" w:before="0"/>
              <w:ind w:firstLine="0"/>
              <w:jc w:val="left"/>
            </w:pPr>
            <w:r/>
            <w:r>
              <w:rPr>
                <w:rFonts w:ascii="宋体" w:hAnsi="宋体" w:eastAsia="宋体"/>
                <w:b w:val="0"/>
                <w:sz w:val="21"/>
              </w:rPr>
              <w:t>品牌形象传播/产品推广/节日营销/事件传播/综合目标</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V7 诉求导向</w:t>
            </w:r>
          </w:p>
        </w:tc>
        <w:tc>
          <w:tcPr>
            <w:tcW w:type="dxa" w:w="1728"/>
          </w:tcPr>
          <w:p>
            <w:pPr>
              <w:spacing w:line="360" w:lineRule="auto" w:after="0" w:before="0"/>
              <w:ind w:firstLine="0"/>
              <w:jc w:val="left"/>
            </w:pPr>
            <w:r/>
            <w:r>
              <w:rPr>
                <w:rFonts w:ascii="宋体" w:hAnsi="宋体" w:eastAsia="宋体"/>
                <w:b w:val="0"/>
                <w:sz w:val="21"/>
              </w:rPr>
              <w:t>判断广告核心说服路径</w:t>
            </w:r>
          </w:p>
        </w:tc>
        <w:tc>
          <w:tcPr>
            <w:tcW w:type="dxa" w:w="1728"/>
          </w:tcPr>
          <w:p>
            <w:pPr>
              <w:spacing w:line="360" w:lineRule="auto" w:after="0" w:before="0"/>
              <w:ind w:firstLine="0"/>
              <w:jc w:val="left"/>
            </w:pPr>
            <w:r/>
            <w:r>
              <w:rPr>
                <w:rFonts w:ascii="宋体" w:hAnsi="宋体" w:eastAsia="宋体"/>
                <w:b w:val="0"/>
                <w:sz w:val="21"/>
              </w:rPr>
              <w:t>功能诉求/情感诉求/符号诉求/价值诉求/复合诉求</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V8 传播场景</w:t>
            </w:r>
          </w:p>
        </w:tc>
        <w:tc>
          <w:tcPr>
            <w:tcW w:type="dxa" w:w="1728"/>
          </w:tcPr>
          <w:p>
            <w:pPr>
              <w:spacing w:line="360" w:lineRule="auto" w:after="0" w:before="0"/>
              <w:ind w:firstLine="0"/>
              <w:jc w:val="left"/>
            </w:pPr>
            <w:r/>
            <w:r>
              <w:rPr>
                <w:rFonts w:ascii="宋体" w:hAnsi="宋体" w:eastAsia="宋体"/>
                <w:b w:val="0"/>
                <w:sz w:val="21"/>
              </w:rPr>
              <w:t>识别广告主要传播语境</w:t>
            </w:r>
          </w:p>
        </w:tc>
        <w:tc>
          <w:tcPr>
            <w:tcW w:type="dxa" w:w="1728"/>
          </w:tcPr>
          <w:p>
            <w:pPr>
              <w:spacing w:line="360" w:lineRule="auto" w:after="0" w:before="0"/>
              <w:ind w:firstLine="0"/>
              <w:jc w:val="left"/>
            </w:pPr>
            <w:r/>
            <w:r>
              <w:rPr>
                <w:rFonts w:ascii="宋体" w:hAnsi="宋体" w:eastAsia="宋体"/>
                <w:b w:val="0"/>
                <w:sz w:val="21"/>
              </w:rPr>
              <w:t>信息流传播/官方账号发布/电商促销/品牌活动节点/社交裂变/其他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语境层</w:t>
            </w:r>
          </w:p>
        </w:tc>
        <w:tc>
          <w:tcPr>
            <w:tcW w:type="dxa" w:w="1728"/>
          </w:tcPr>
          <w:p>
            <w:pPr>
              <w:spacing w:line="360" w:lineRule="auto" w:after="0" w:before="0"/>
              <w:ind w:firstLine="0"/>
              <w:jc w:val="left"/>
            </w:pPr>
            <w:r/>
            <w:r>
              <w:rPr>
                <w:rFonts w:ascii="宋体" w:hAnsi="宋体" w:eastAsia="宋体"/>
                <w:b w:val="0"/>
                <w:sz w:val="21"/>
              </w:rPr>
              <w:t>V9 品牌传播重心</w:t>
            </w:r>
          </w:p>
        </w:tc>
        <w:tc>
          <w:tcPr>
            <w:tcW w:type="dxa" w:w="1728"/>
          </w:tcPr>
          <w:p>
            <w:pPr>
              <w:spacing w:line="360" w:lineRule="auto" w:after="0" w:before="0"/>
              <w:ind w:firstLine="0"/>
              <w:jc w:val="left"/>
            </w:pPr>
            <w:r/>
            <w:r>
              <w:rPr>
                <w:rFonts w:ascii="宋体" w:hAnsi="宋体" w:eastAsia="宋体"/>
                <w:b w:val="0"/>
                <w:sz w:val="21"/>
              </w:rPr>
              <w:t>判断广告集中建构的品牌重点</w:t>
            </w:r>
          </w:p>
        </w:tc>
        <w:tc>
          <w:tcPr>
            <w:tcW w:type="dxa" w:w="1728"/>
          </w:tcPr>
          <w:p>
            <w:pPr>
              <w:spacing w:line="360" w:lineRule="auto" w:after="0" w:before="0"/>
              <w:ind w:firstLine="0"/>
              <w:jc w:val="left"/>
            </w:pPr>
            <w:r/>
            <w:r>
              <w:rPr>
                <w:rFonts w:ascii="宋体" w:hAnsi="宋体" w:eastAsia="宋体"/>
                <w:b w:val="0"/>
                <w:sz w:val="21"/>
              </w:rPr>
              <w:t>品牌理念/产品卖点/生活方式/技术创新/社会责任/综合重心</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V10 品牌名称显性出现</w:t>
            </w:r>
          </w:p>
        </w:tc>
        <w:tc>
          <w:tcPr>
            <w:tcW w:type="dxa" w:w="1728"/>
          </w:tcPr>
          <w:p>
            <w:pPr>
              <w:spacing w:line="360" w:lineRule="auto" w:after="0" w:before="0"/>
              <w:ind w:firstLine="0"/>
              <w:jc w:val="left"/>
            </w:pPr>
            <w:r/>
            <w:r>
              <w:rPr>
                <w:rFonts w:ascii="宋体" w:hAnsi="宋体" w:eastAsia="宋体"/>
                <w:b w:val="0"/>
                <w:sz w:val="21"/>
              </w:rPr>
              <w:t>判断品牌名称是否以字幕、旁白或画面文字显性出现</w:t>
            </w:r>
          </w:p>
        </w:tc>
        <w:tc>
          <w:tcPr>
            <w:tcW w:type="dxa" w:w="1728"/>
          </w:tcPr>
          <w:p>
            <w:pPr>
              <w:spacing w:line="360" w:lineRule="auto" w:after="0" w:before="0"/>
              <w:ind w:firstLine="0"/>
              <w:jc w:val="left"/>
            </w:pPr>
            <w:r/>
            <w:r>
              <w:rPr>
                <w:rFonts w:ascii="宋体" w:hAnsi="宋体" w:eastAsia="宋体"/>
                <w:b w:val="0"/>
                <w:sz w:val="21"/>
              </w:rPr>
              <w:t>0=未出现，1=出现</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V11 品牌口号或核心文案出现</w:t>
            </w:r>
          </w:p>
        </w:tc>
        <w:tc>
          <w:tcPr>
            <w:tcW w:type="dxa" w:w="1728"/>
          </w:tcPr>
          <w:p>
            <w:pPr>
              <w:spacing w:line="360" w:lineRule="auto" w:after="0" w:before="0"/>
              <w:ind w:firstLine="0"/>
              <w:jc w:val="left"/>
            </w:pPr>
            <w:r/>
            <w:r>
              <w:rPr>
                <w:rFonts w:ascii="宋体" w:hAnsi="宋体" w:eastAsia="宋体"/>
                <w:b w:val="0"/>
                <w:sz w:val="21"/>
              </w:rPr>
              <w:t>判断是否出现稳定口号、主张或核心Slogan</w:t>
            </w:r>
          </w:p>
        </w:tc>
        <w:tc>
          <w:tcPr>
            <w:tcW w:type="dxa" w:w="1728"/>
          </w:tcPr>
          <w:p>
            <w:pPr>
              <w:spacing w:line="360" w:lineRule="auto" w:after="0" w:before="0"/>
              <w:ind w:firstLine="0"/>
              <w:jc w:val="left"/>
            </w:pPr>
            <w:r/>
            <w:r>
              <w:rPr>
                <w:rFonts w:ascii="宋体" w:hAnsi="宋体" w:eastAsia="宋体"/>
                <w:b w:val="0"/>
                <w:sz w:val="21"/>
              </w:rPr>
              <w:t>0=未出现，1=出现</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V12 字幕密度</w:t>
            </w:r>
          </w:p>
        </w:tc>
        <w:tc>
          <w:tcPr>
            <w:tcW w:type="dxa" w:w="1728"/>
          </w:tcPr>
          <w:p>
            <w:pPr>
              <w:spacing w:line="360" w:lineRule="auto" w:after="0" w:before="0"/>
              <w:ind w:firstLine="0"/>
              <w:jc w:val="left"/>
            </w:pPr>
            <w:r/>
            <w:r>
              <w:rPr>
                <w:rFonts w:ascii="宋体" w:hAnsi="宋体" w:eastAsia="宋体"/>
                <w:b w:val="0"/>
                <w:sz w:val="21"/>
              </w:rPr>
              <w:t>判断字幕在全片中的使用频率与覆盖程度</w:t>
            </w:r>
          </w:p>
        </w:tc>
        <w:tc>
          <w:tcPr>
            <w:tcW w:type="dxa" w:w="1728"/>
          </w:tcPr>
          <w:p>
            <w:pPr>
              <w:spacing w:line="360" w:lineRule="auto" w:after="0" w:before="0"/>
              <w:ind w:firstLine="0"/>
              <w:jc w:val="left"/>
            </w:pPr>
            <w:r/>
            <w:r>
              <w:rPr>
                <w:rFonts w:ascii="宋体" w:hAnsi="宋体" w:eastAsia="宋体"/>
                <w:b w:val="0"/>
                <w:sz w:val="21"/>
              </w:rPr>
              <w:t>1=低，2=中，3=高</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V13 叙事文本类型</w:t>
            </w:r>
          </w:p>
        </w:tc>
        <w:tc>
          <w:tcPr>
            <w:tcW w:type="dxa" w:w="1728"/>
          </w:tcPr>
          <w:p>
            <w:pPr>
              <w:spacing w:line="360" w:lineRule="auto" w:after="0" w:before="0"/>
              <w:ind w:firstLine="0"/>
              <w:jc w:val="left"/>
            </w:pPr>
            <w:r/>
            <w:r>
              <w:rPr>
                <w:rFonts w:ascii="宋体" w:hAnsi="宋体" w:eastAsia="宋体"/>
                <w:b w:val="0"/>
                <w:sz w:val="21"/>
              </w:rPr>
              <w:t>判断语言模态的主要组织方式</w:t>
            </w:r>
          </w:p>
        </w:tc>
        <w:tc>
          <w:tcPr>
            <w:tcW w:type="dxa" w:w="1728"/>
          </w:tcPr>
          <w:p>
            <w:pPr>
              <w:spacing w:line="360" w:lineRule="auto" w:after="0" w:before="0"/>
              <w:ind w:firstLine="0"/>
              <w:jc w:val="left"/>
            </w:pPr>
            <w:r/>
            <w:r>
              <w:rPr>
                <w:rFonts w:ascii="宋体" w:hAnsi="宋体" w:eastAsia="宋体"/>
                <w:b w:val="0"/>
                <w:sz w:val="21"/>
              </w:rPr>
              <w:t>说明型/故事型/对话型/宣言型/混合型</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表达层-语言</w:t>
            </w:r>
          </w:p>
        </w:tc>
        <w:tc>
          <w:tcPr>
            <w:tcW w:type="dxa" w:w="1728"/>
          </w:tcPr>
          <w:p>
            <w:pPr>
              <w:spacing w:line="360" w:lineRule="auto" w:after="0" w:before="0"/>
              <w:ind w:firstLine="0"/>
              <w:jc w:val="left"/>
            </w:pPr>
            <w:r/>
            <w:r>
              <w:rPr>
                <w:rFonts w:ascii="宋体" w:hAnsi="宋体" w:eastAsia="宋体"/>
                <w:b w:val="0"/>
                <w:sz w:val="21"/>
              </w:rPr>
              <w:t>V14 情感措辞倾向</w:t>
            </w:r>
          </w:p>
        </w:tc>
        <w:tc>
          <w:tcPr>
            <w:tcW w:type="dxa" w:w="1728"/>
          </w:tcPr>
          <w:p>
            <w:pPr>
              <w:spacing w:line="360" w:lineRule="auto" w:after="0" w:before="0"/>
              <w:ind w:firstLine="0"/>
              <w:jc w:val="left"/>
            </w:pPr>
            <w:r/>
            <w:r>
              <w:rPr>
                <w:rFonts w:ascii="宋体" w:hAnsi="宋体" w:eastAsia="宋体"/>
                <w:b w:val="0"/>
                <w:sz w:val="21"/>
              </w:rPr>
              <w:t>判断文案主要情感风格</w:t>
            </w:r>
          </w:p>
        </w:tc>
        <w:tc>
          <w:tcPr>
            <w:tcW w:type="dxa" w:w="1728"/>
          </w:tcPr>
          <w:p>
            <w:pPr>
              <w:spacing w:line="360" w:lineRule="auto" w:after="0" w:before="0"/>
              <w:ind w:firstLine="0"/>
              <w:jc w:val="left"/>
            </w:pPr>
            <w:r/>
            <w:r>
              <w:rPr>
                <w:rFonts w:ascii="宋体" w:hAnsi="宋体" w:eastAsia="宋体"/>
                <w:b w:val="0"/>
                <w:sz w:val="21"/>
              </w:rPr>
              <w:t>理性克制/温暖治愈/激励热血/幽默轻松/震撼奇观/混合</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V15 主导场景类型</w:t>
            </w:r>
          </w:p>
        </w:tc>
        <w:tc>
          <w:tcPr>
            <w:tcW w:type="dxa" w:w="1728"/>
          </w:tcPr>
          <w:p>
            <w:pPr>
              <w:spacing w:line="360" w:lineRule="auto" w:after="0" w:before="0"/>
              <w:ind w:firstLine="0"/>
              <w:jc w:val="left"/>
            </w:pPr>
            <w:r/>
            <w:r>
              <w:rPr>
                <w:rFonts w:ascii="宋体" w:hAnsi="宋体" w:eastAsia="宋体"/>
                <w:b w:val="0"/>
                <w:sz w:val="21"/>
              </w:rPr>
              <w:t>判断广告主要场景资源</w:t>
            </w:r>
          </w:p>
        </w:tc>
        <w:tc>
          <w:tcPr>
            <w:tcW w:type="dxa" w:w="1728"/>
          </w:tcPr>
          <w:p>
            <w:pPr>
              <w:spacing w:line="360" w:lineRule="auto" w:after="0" w:before="0"/>
              <w:ind w:firstLine="0"/>
              <w:jc w:val="left"/>
            </w:pPr>
            <w:r/>
            <w:r>
              <w:rPr>
                <w:rFonts w:ascii="宋体" w:hAnsi="宋体" w:eastAsia="宋体"/>
                <w:b w:val="0"/>
                <w:sz w:val="21"/>
              </w:rPr>
              <w:t>现实生活/产品展示/虚拟奇观/未来科技/混合场景</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V16 主体形象类型</w:t>
            </w:r>
          </w:p>
        </w:tc>
        <w:tc>
          <w:tcPr>
            <w:tcW w:type="dxa" w:w="1728"/>
          </w:tcPr>
          <w:p>
            <w:pPr>
              <w:spacing w:line="360" w:lineRule="auto" w:after="0" w:before="0"/>
              <w:ind w:firstLine="0"/>
              <w:jc w:val="left"/>
            </w:pPr>
            <w:r/>
            <w:r>
              <w:rPr>
                <w:rFonts w:ascii="宋体" w:hAnsi="宋体" w:eastAsia="宋体"/>
                <w:b w:val="0"/>
                <w:sz w:val="21"/>
              </w:rPr>
              <w:t>判断画面中承担叙事中心的主体</w:t>
            </w:r>
          </w:p>
        </w:tc>
        <w:tc>
          <w:tcPr>
            <w:tcW w:type="dxa" w:w="1728"/>
          </w:tcPr>
          <w:p>
            <w:pPr>
              <w:spacing w:line="360" w:lineRule="auto" w:after="0" w:before="0"/>
              <w:ind w:firstLine="0"/>
              <w:jc w:val="left"/>
            </w:pPr>
            <w:r/>
            <w:r>
              <w:rPr>
                <w:rFonts w:ascii="宋体" w:hAnsi="宋体" w:eastAsia="宋体"/>
                <w:b w:val="0"/>
                <w:sz w:val="21"/>
              </w:rPr>
              <w:t>真人人物/拟人化角色/产品主体/品牌符号/混合主体</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V17 色彩基调</w:t>
            </w:r>
          </w:p>
        </w:tc>
        <w:tc>
          <w:tcPr>
            <w:tcW w:type="dxa" w:w="1728"/>
          </w:tcPr>
          <w:p>
            <w:pPr>
              <w:spacing w:line="360" w:lineRule="auto" w:after="0" w:before="0"/>
              <w:ind w:firstLine="0"/>
              <w:jc w:val="left"/>
            </w:pPr>
            <w:r/>
            <w:r>
              <w:rPr>
                <w:rFonts w:ascii="宋体" w:hAnsi="宋体" w:eastAsia="宋体"/>
                <w:b w:val="0"/>
                <w:sz w:val="21"/>
              </w:rPr>
              <w:t>判断画面总体色彩倾向</w:t>
            </w:r>
          </w:p>
        </w:tc>
        <w:tc>
          <w:tcPr>
            <w:tcW w:type="dxa" w:w="1728"/>
          </w:tcPr>
          <w:p>
            <w:pPr>
              <w:spacing w:line="360" w:lineRule="auto" w:after="0" w:before="0"/>
              <w:ind w:firstLine="0"/>
              <w:jc w:val="left"/>
            </w:pPr>
            <w:r/>
            <w:r>
              <w:rPr>
                <w:rFonts w:ascii="宋体" w:hAnsi="宋体" w:eastAsia="宋体"/>
                <w:b w:val="0"/>
                <w:sz w:val="21"/>
              </w:rPr>
              <w:t>暖色主导/冷色主导/高饱和/低饱和/综合色调</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V18 镜头节奏</w:t>
            </w:r>
          </w:p>
        </w:tc>
        <w:tc>
          <w:tcPr>
            <w:tcW w:type="dxa" w:w="1728"/>
          </w:tcPr>
          <w:p>
            <w:pPr>
              <w:spacing w:line="360" w:lineRule="auto" w:after="0" w:before="0"/>
              <w:ind w:firstLine="0"/>
              <w:jc w:val="left"/>
            </w:pPr>
            <w:r/>
            <w:r>
              <w:rPr>
                <w:rFonts w:ascii="宋体" w:hAnsi="宋体" w:eastAsia="宋体"/>
                <w:b w:val="0"/>
                <w:sz w:val="21"/>
              </w:rPr>
              <w:t>判断镜头切换速度与节奏强度</w:t>
            </w:r>
          </w:p>
        </w:tc>
        <w:tc>
          <w:tcPr>
            <w:tcW w:type="dxa" w:w="1728"/>
          </w:tcPr>
          <w:p>
            <w:pPr>
              <w:spacing w:line="360" w:lineRule="auto" w:after="0" w:before="0"/>
              <w:ind w:firstLine="0"/>
              <w:jc w:val="left"/>
            </w:pPr>
            <w:r/>
            <w:r>
              <w:rPr>
                <w:rFonts w:ascii="宋体" w:hAnsi="宋体" w:eastAsia="宋体"/>
                <w:b w:val="0"/>
                <w:sz w:val="21"/>
              </w:rPr>
              <w:t>1=慢，2=中，3=快</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V19 品牌标识露出方式</w:t>
            </w:r>
          </w:p>
        </w:tc>
        <w:tc>
          <w:tcPr>
            <w:tcW w:type="dxa" w:w="1728"/>
          </w:tcPr>
          <w:p>
            <w:pPr>
              <w:spacing w:line="360" w:lineRule="auto" w:after="0" w:before="0"/>
              <w:ind w:firstLine="0"/>
              <w:jc w:val="left"/>
            </w:pPr>
            <w:r/>
            <w:r>
              <w:rPr>
                <w:rFonts w:ascii="宋体" w:hAnsi="宋体" w:eastAsia="宋体"/>
                <w:b w:val="0"/>
                <w:sz w:val="21"/>
              </w:rPr>
              <w:t>判断Logo或品牌符号的主要出现方式</w:t>
            </w:r>
          </w:p>
        </w:tc>
        <w:tc>
          <w:tcPr>
            <w:tcW w:type="dxa" w:w="1728"/>
          </w:tcPr>
          <w:p>
            <w:pPr>
              <w:spacing w:line="360" w:lineRule="auto" w:after="0" w:before="0"/>
              <w:ind w:firstLine="0"/>
              <w:jc w:val="left"/>
            </w:pPr>
            <w:r/>
            <w:r>
              <w:rPr>
                <w:rFonts w:ascii="宋体" w:hAnsi="宋体" w:eastAsia="宋体"/>
                <w:b w:val="0"/>
                <w:sz w:val="21"/>
              </w:rPr>
              <w:t>片头露出/片中嵌入/片尾强化/多次重复/无明显露出</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V20 产品露出强度</w:t>
            </w:r>
          </w:p>
        </w:tc>
        <w:tc>
          <w:tcPr>
            <w:tcW w:type="dxa" w:w="1728"/>
          </w:tcPr>
          <w:p>
            <w:pPr>
              <w:spacing w:line="360" w:lineRule="auto" w:after="0" w:before="0"/>
              <w:ind w:firstLine="0"/>
              <w:jc w:val="left"/>
            </w:pPr>
            <w:r/>
            <w:r>
              <w:rPr>
                <w:rFonts w:ascii="宋体" w:hAnsi="宋体" w:eastAsia="宋体"/>
                <w:b w:val="0"/>
                <w:sz w:val="21"/>
              </w:rPr>
              <w:t>判断产品在画面中的突出程度</w:t>
            </w:r>
          </w:p>
        </w:tc>
        <w:tc>
          <w:tcPr>
            <w:tcW w:type="dxa" w:w="1728"/>
          </w:tcPr>
          <w:p>
            <w:pPr>
              <w:spacing w:line="360" w:lineRule="auto" w:after="0" w:before="0"/>
              <w:ind w:firstLine="0"/>
              <w:jc w:val="left"/>
            </w:pPr>
            <w:r/>
            <w:r>
              <w:rPr>
                <w:rFonts w:ascii="宋体" w:hAnsi="宋体" w:eastAsia="宋体"/>
                <w:b w:val="0"/>
                <w:sz w:val="21"/>
              </w:rPr>
              <w:t>1=弱，2=中，3=强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V21 AIGC奇观化程度</w:t>
            </w:r>
          </w:p>
        </w:tc>
        <w:tc>
          <w:tcPr>
            <w:tcW w:type="dxa" w:w="1728"/>
          </w:tcPr>
          <w:p>
            <w:pPr>
              <w:spacing w:line="360" w:lineRule="auto" w:after="0" w:before="0"/>
              <w:ind w:firstLine="0"/>
              <w:jc w:val="left"/>
            </w:pPr>
            <w:r/>
            <w:r>
              <w:rPr>
                <w:rFonts w:ascii="宋体" w:hAnsi="宋体" w:eastAsia="宋体"/>
                <w:b w:val="0"/>
                <w:sz w:val="21"/>
              </w:rPr>
              <w:t>判断画面是否突出超现实生成效果</w:t>
            </w:r>
          </w:p>
        </w:tc>
        <w:tc>
          <w:tcPr>
            <w:tcW w:type="dxa" w:w="1728"/>
          </w:tcPr>
          <w:p>
            <w:pPr>
              <w:spacing w:line="360" w:lineRule="auto" w:after="0" w:before="0"/>
              <w:ind w:firstLine="0"/>
              <w:jc w:val="left"/>
            </w:pPr>
            <w:r/>
            <w:r>
              <w:rPr>
                <w:rFonts w:ascii="宋体" w:hAnsi="宋体" w:eastAsia="宋体"/>
                <w:b w:val="0"/>
                <w:sz w:val="21"/>
              </w:rPr>
              <w:t>1=低，2=中，3=高</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表达层-视觉</w:t>
            </w:r>
          </w:p>
        </w:tc>
        <w:tc>
          <w:tcPr>
            <w:tcW w:type="dxa" w:w="1728"/>
          </w:tcPr>
          <w:p>
            <w:pPr>
              <w:spacing w:line="360" w:lineRule="auto" w:after="0" w:before="0"/>
              <w:ind w:firstLine="0"/>
              <w:jc w:val="left"/>
            </w:pPr>
            <w:r/>
            <w:r>
              <w:rPr>
                <w:rFonts w:ascii="宋体" w:hAnsi="宋体" w:eastAsia="宋体"/>
                <w:b w:val="0"/>
                <w:sz w:val="21"/>
              </w:rPr>
              <w:t>V22 品牌首次出现时间占比</w:t>
            </w:r>
          </w:p>
        </w:tc>
        <w:tc>
          <w:tcPr>
            <w:tcW w:type="dxa" w:w="1728"/>
          </w:tcPr>
          <w:p>
            <w:pPr>
              <w:spacing w:line="360" w:lineRule="auto" w:after="0" w:before="0"/>
              <w:ind w:firstLine="0"/>
              <w:jc w:val="left"/>
            </w:pPr>
            <w:r/>
            <w:r>
              <w:rPr>
                <w:rFonts w:ascii="宋体" w:hAnsi="宋体" w:eastAsia="宋体"/>
                <w:b w:val="0"/>
                <w:sz w:val="21"/>
              </w:rPr>
              <w:t>记录品牌名称、Logo或核心产品首次出现时间占全片时长的比例</w:t>
            </w:r>
          </w:p>
        </w:tc>
        <w:tc>
          <w:tcPr>
            <w:tcW w:type="dxa" w:w="1728"/>
          </w:tcPr>
          <w:p>
            <w:pPr>
              <w:spacing w:line="360" w:lineRule="auto" w:after="0" w:before="0"/>
              <w:ind w:firstLine="0"/>
              <w:jc w:val="left"/>
            </w:pPr>
            <w:r/>
            <w:r>
              <w:rPr>
                <w:rFonts w:ascii="宋体" w:hAnsi="宋体" w:eastAsia="宋体"/>
                <w:b w:val="0"/>
                <w:sz w:val="21"/>
              </w:rPr>
              <w:t>按“首次出现秒数/总时长”计算</w:t>
            </w:r>
          </w:p>
        </w:tc>
        <w:tc>
          <w:tcPr>
            <w:tcW w:type="dxa" w:w="1728"/>
          </w:tcPr>
          <w:p>
            <w:pPr>
              <w:spacing w:line="360" w:lineRule="auto" w:after="0" w:before="0"/>
              <w:ind w:firstLine="0"/>
              <w:jc w:val="left"/>
            </w:pPr>
            <w:r/>
            <w:r>
              <w:rPr>
                <w:rFonts w:ascii="宋体" w:hAnsi="宋体" w:eastAsia="宋体"/>
                <w:b w:val="0"/>
                <w:sz w:val="21"/>
              </w:rPr>
              <w:t>比例尺度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V23 人声类型</w:t>
            </w:r>
          </w:p>
        </w:tc>
        <w:tc>
          <w:tcPr>
            <w:tcW w:type="dxa" w:w="1728"/>
          </w:tcPr>
          <w:p>
            <w:pPr>
              <w:spacing w:line="360" w:lineRule="auto" w:after="0" w:before="0"/>
              <w:ind w:firstLine="0"/>
              <w:jc w:val="left"/>
            </w:pPr>
            <w:r/>
            <w:r>
              <w:rPr>
                <w:rFonts w:ascii="宋体" w:hAnsi="宋体" w:eastAsia="宋体"/>
                <w:b w:val="0"/>
                <w:sz w:val="21"/>
              </w:rPr>
              <w:t>判断主要发声主体类型</w:t>
            </w:r>
          </w:p>
        </w:tc>
        <w:tc>
          <w:tcPr>
            <w:tcW w:type="dxa" w:w="1728"/>
          </w:tcPr>
          <w:p>
            <w:pPr>
              <w:spacing w:line="360" w:lineRule="auto" w:after="0" w:before="0"/>
              <w:ind w:firstLine="0"/>
              <w:jc w:val="left"/>
            </w:pPr>
            <w:r/>
            <w:r>
              <w:rPr>
                <w:rFonts w:ascii="宋体" w:hAnsi="宋体" w:eastAsia="宋体"/>
                <w:b w:val="0"/>
                <w:sz w:val="21"/>
              </w:rPr>
              <w:t>男声/女声/童声/AI合成音/无人声/混合</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V24 音乐风格</w:t>
            </w:r>
          </w:p>
        </w:tc>
        <w:tc>
          <w:tcPr>
            <w:tcW w:type="dxa" w:w="1728"/>
          </w:tcPr>
          <w:p>
            <w:pPr>
              <w:spacing w:line="360" w:lineRule="auto" w:after="0" w:before="0"/>
              <w:ind w:firstLine="0"/>
              <w:jc w:val="left"/>
            </w:pPr>
            <w:r/>
            <w:r>
              <w:rPr>
                <w:rFonts w:ascii="宋体" w:hAnsi="宋体" w:eastAsia="宋体"/>
                <w:b w:val="0"/>
                <w:sz w:val="21"/>
              </w:rPr>
              <w:t>判断背景音乐的主要风格</w:t>
            </w:r>
          </w:p>
        </w:tc>
        <w:tc>
          <w:tcPr>
            <w:tcW w:type="dxa" w:w="1728"/>
          </w:tcPr>
          <w:p>
            <w:pPr>
              <w:spacing w:line="360" w:lineRule="auto" w:after="0" w:before="0"/>
              <w:ind w:firstLine="0"/>
              <w:jc w:val="left"/>
            </w:pPr>
            <w:r/>
            <w:r>
              <w:rPr>
                <w:rFonts w:ascii="宋体" w:hAnsi="宋体" w:eastAsia="宋体"/>
                <w:b w:val="0"/>
                <w:sz w:val="21"/>
              </w:rPr>
              <w:t>电子科技/抒情温和/节奏轻快/宏大史诗/无配乐/其他</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V25 音效使用强度</w:t>
            </w:r>
          </w:p>
        </w:tc>
        <w:tc>
          <w:tcPr>
            <w:tcW w:type="dxa" w:w="1728"/>
          </w:tcPr>
          <w:p>
            <w:pPr>
              <w:spacing w:line="360" w:lineRule="auto" w:after="0" w:before="0"/>
              <w:ind w:firstLine="0"/>
              <w:jc w:val="left"/>
            </w:pPr>
            <w:r/>
            <w:r>
              <w:rPr>
                <w:rFonts w:ascii="宋体" w:hAnsi="宋体" w:eastAsia="宋体"/>
                <w:b w:val="0"/>
                <w:sz w:val="21"/>
              </w:rPr>
              <w:t>判断音效对画面推进的参与程度</w:t>
            </w:r>
          </w:p>
        </w:tc>
        <w:tc>
          <w:tcPr>
            <w:tcW w:type="dxa" w:w="1728"/>
          </w:tcPr>
          <w:p>
            <w:pPr>
              <w:spacing w:line="360" w:lineRule="auto" w:after="0" w:before="0"/>
              <w:ind w:firstLine="0"/>
              <w:jc w:val="left"/>
            </w:pPr>
            <w:r/>
            <w:r>
              <w:rPr>
                <w:rFonts w:ascii="宋体" w:hAnsi="宋体" w:eastAsia="宋体"/>
                <w:b w:val="0"/>
                <w:sz w:val="21"/>
              </w:rPr>
              <w:t>1=弱，2=中，3=强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表达层-听觉</w:t>
            </w:r>
          </w:p>
        </w:tc>
        <w:tc>
          <w:tcPr>
            <w:tcW w:type="dxa" w:w="1728"/>
          </w:tcPr>
          <w:p>
            <w:pPr>
              <w:spacing w:line="360" w:lineRule="auto" w:after="0" w:before="0"/>
              <w:ind w:firstLine="0"/>
              <w:jc w:val="left"/>
            </w:pPr>
            <w:r/>
            <w:r>
              <w:rPr>
                <w:rFonts w:ascii="宋体" w:hAnsi="宋体" w:eastAsia="宋体"/>
                <w:b w:val="0"/>
                <w:sz w:val="21"/>
              </w:rPr>
              <w:t>V26 声音节奏特征</w:t>
            </w:r>
          </w:p>
        </w:tc>
        <w:tc>
          <w:tcPr>
            <w:tcW w:type="dxa" w:w="1728"/>
          </w:tcPr>
          <w:p>
            <w:pPr>
              <w:spacing w:line="360" w:lineRule="auto" w:after="0" w:before="0"/>
              <w:ind w:firstLine="0"/>
              <w:jc w:val="left"/>
            </w:pPr>
            <w:r/>
            <w:r>
              <w:rPr>
                <w:rFonts w:ascii="宋体" w:hAnsi="宋体" w:eastAsia="宋体"/>
                <w:b w:val="0"/>
                <w:sz w:val="21"/>
              </w:rPr>
              <w:t>判断整体听觉节奏的紧凑程度</w:t>
            </w:r>
          </w:p>
        </w:tc>
        <w:tc>
          <w:tcPr>
            <w:tcW w:type="dxa" w:w="1728"/>
          </w:tcPr>
          <w:p>
            <w:pPr>
              <w:spacing w:line="360" w:lineRule="auto" w:after="0" w:before="0"/>
              <w:ind w:firstLine="0"/>
              <w:jc w:val="left"/>
            </w:pPr>
            <w:r/>
            <w:r>
              <w:rPr>
                <w:rFonts w:ascii="宋体" w:hAnsi="宋体" w:eastAsia="宋体"/>
                <w:b w:val="0"/>
                <w:sz w:val="21"/>
              </w:rPr>
              <w:t>1=舒缓，2=均衡，3=强刺激</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品牌形象呈现层</w:t>
            </w:r>
          </w:p>
        </w:tc>
        <w:tc>
          <w:tcPr>
            <w:tcW w:type="dxa" w:w="1728"/>
          </w:tcPr>
          <w:p>
            <w:pPr>
              <w:spacing w:line="360" w:lineRule="auto" w:after="0" w:before="0"/>
              <w:ind w:firstLine="0"/>
              <w:jc w:val="left"/>
            </w:pPr>
            <w:r/>
            <w:r>
              <w:rPr>
                <w:rFonts w:ascii="宋体" w:hAnsi="宋体" w:eastAsia="宋体"/>
                <w:b w:val="0"/>
                <w:sz w:val="21"/>
              </w:rPr>
              <w:t>V27 功能形象突出程度</w:t>
            </w:r>
          </w:p>
        </w:tc>
        <w:tc>
          <w:tcPr>
            <w:tcW w:type="dxa" w:w="1728"/>
          </w:tcPr>
          <w:p>
            <w:pPr>
              <w:spacing w:line="360" w:lineRule="auto" w:after="0" w:before="0"/>
              <w:ind w:firstLine="0"/>
              <w:jc w:val="left"/>
            </w:pPr>
            <w:r/>
            <w:r>
              <w:rPr>
                <w:rFonts w:ascii="宋体" w:hAnsi="宋体" w:eastAsia="宋体"/>
                <w:b w:val="0"/>
                <w:sz w:val="21"/>
              </w:rPr>
              <w:t>判断广告文本是否突出性能、功效或使用价值</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品牌形象呈现层</w:t>
            </w:r>
          </w:p>
        </w:tc>
        <w:tc>
          <w:tcPr>
            <w:tcW w:type="dxa" w:w="1728"/>
          </w:tcPr>
          <w:p>
            <w:pPr>
              <w:spacing w:line="360" w:lineRule="auto" w:after="0" w:before="0"/>
              <w:ind w:firstLine="0"/>
              <w:jc w:val="left"/>
            </w:pPr>
            <w:r/>
            <w:r>
              <w:rPr>
                <w:rFonts w:ascii="宋体" w:hAnsi="宋体" w:eastAsia="宋体"/>
                <w:b w:val="0"/>
                <w:sz w:val="21"/>
              </w:rPr>
              <w:t>V28 情感形象突出程度</w:t>
            </w:r>
          </w:p>
        </w:tc>
        <w:tc>
          <w:tcPr>
            <w:tcW w:type="dxa" w:w="1728"/>
          </w:tcPr>
          <w:p>
            <w:pPr>
              <w:spacing w:line="360" w:lineRule="auto" w:after="0" w:before="0"/>
              <w:ind w:firstLine="0"/>
              <w:jc w:val="left"/>
            </w:pPr>
            <w:r/>
            <w:r>
              <w:rPr>
                <w:rFonts w:ascii="宋体" w:hAnsi="宋体" w:eastAsia="宋体"/>
                <w:b w:val="0"/>
                <w:sz w:val="21"/>
              </w:rPr>
              <w:t>判断广告文本是否突出情绪共鸣、陪伴或治愈属性</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品牌形象呈现层</w:t>
            </w:r>
          </w:p>
        </w:tc>
        <w:tc>
          <w:tcPr>
            <w:tcW w:type="dxa" w:w="1728"/>
          </w:tcPr>
          <w:p>
            <w:pPr>
              <w:spacing w:line="360" w:lineRule="auto" w:after="0" w:before="0"/>
              <w:ind w:firstLine="0"/>
              <w:jc w:val="left"/>
            </w:pPr>
            <w:r/>
            <w:r>
              <w:rPr>
                <w:rFonts w:ascii="宋体" w:hAnsi="宋体" w:eastAsia="宋体"/>
                <w:b w:val="0"/>
                <w:sz w:val="21"/>
              </w:rPr>
              <w:t>V29 符号形象突出程度</w:t>
            </w:r>
          </w:p>
        </w:tc>
        <w:tc>
          <w:tcPr>
            <w:tcW w:type="dxa" w:w="1728"/>
          </w:tcPr>
          <w:p>
            <w:pPr>
              <w:spacing w:line="360" w:lineRule="auto" w:after="0" w:before="0"/>
              <w:ind w:firstLine="0"/>
              <w:jc w:val="left"/>
            </w:pPr>
            <w:r/>
            <w:r>
              <w:rPr>
                <w:rFonts w:ascii="宋体" w:hAnsi="宋体" w:eastAsia="宋体"/>
                <w:b w:val="0"/>
                <w:sz w:val="21"/>
              </w:rPr>
              <w:t>判断广告文本是否突出身份象征、审美风格或文化符号</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品牌形象呈现层</w:t>
            </w:r>
          </w:p>
        </w:tc>
        <w:tc>
          <w:tcPr>
            <w:tcW w:type="dxa" w:w="1728"/>
          </w:tcPr>
          <w:p>
            <w:pPr>
              <w:spacing w:line="360" w:lineRule="auto" w:after="0" w:before="0"/>
              <w:ind w:firstLine="0"/>
              <w:jc w:val="left"/>
            </w:pPr>
            <w:r/>
            <w:r>
              <w:rPr>
                <w:rFonts w:ascii="宋体" w:hAnsi="宋体" w:eastAsia="宋体"/>
                <w:b w:val="0"/>
                <w:sz w:val="21"/>
              </w:rPr>
              <w:t>V30 价值形象突出程度</w:t>
            </w:r>
          </w:p>
        </w:tc>
        <w:tc>
          <w:tcPr>
            <w:tcW w:type="dxa" w:w="1728"/>
          </w:tcPr>
          <w:p>
            <w:pPr>
              <w:spacing w:line="360" w:lineRule="auto" w:after="0" w:before="0"/>
              <w:ind w:firstLine="0"/>
              <w:jc w:val="left"/>
            </w:pPr>
            <w:r/>
            <w:r>
              <w:rPr>
                <w:rFonts w:ascii="宋体" w:hAnsi="宋体" w:eastAsia="宋体"/>
                <w:b w:val="0"/>
                <w:sz w:val="21"/>
              </w:rPr>
              <w:t>判断广告文本是否突出责任、理念、可持续或社会价值</w:t>
            </w:r>
          </w:p>
        </w:tc>
        <w:tc>
          <w:tcPr>
            <w:tcW w:type="dxa" w:w="1728"/>
          </w:tcPr>
          <w:p>
            <w:pPr>
              <w:spacing w:line="360" w:lineRule="auto" w:after="0" w:before="0"/>
              <w:ind w:firstLine="0"/>
              <w:jc w:val="left"/>
            </w:pPr>
            <w:r/>
            <w:r>
              <w:rPr>
                <w:rFonts w:ascii="宋体" w:hAnsi="宋体" w:eastAsia="宋体"/>
                <w:b w:val="0"/>
                <w:sz w:val="21"/>
              </w:rPr>
              <w:t>1=未突出，2=一般突出，3=显著突出</w:t>
            </w:r>
          </w:p>
        </w:tc>
        <w:tc>
          <w:tcPr>
            <w:tcW w:type="dxa" w:w="1728"/>
          </w:tcPr>
          <w:p>
            <w:pPr>
              <w:spacing w:line="360" w:lineRule="auto" w:after="0" w:before="0"/>
              <w:ind w:firstLine="0"/>
              <w:jc w:val="left"/>
            </w:pPr>
            <w:r/>
            <w:r>
              <w:rPr>
                <w:rFonts w:ascii="宋体" w:hAnsi="宋体" w:eastAsia="宋体"/>
                <w:b w:val="0"/>
                <w:sz w:val="21"/>
              </w:rPr>
              <w:t>顺序尺度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V31 语言-视觉关系</w:t>
            </w:r>
          </w:p>
        </w:tc>
        <w:tc>
          <w:tcPr>
            <w:tcW w:type="dxa" w:w="1728"/>
          </w:tcPr>
          <w:p>
            <w:pPr>
              <w:spacing w:line="360" w:lineRule="auto" w:after="0" w:before="0"/>
              <w:ind w:firstLine="0"/>
              <w:jc w:val="left"/>
            </w:pPr>
            <w:r/>
            <w:r>
              <w:rPr>
                <w:rFonts w:ascii="宋体" w:hAnsi="宋体" w:eastAsia="宋体"/>
                <w:b w:val="0"/>
                <w:sz w:val="21"/>
              </w:rPr>
              <w:t>判断语言信息与视觉信息的对应关系</w:t>
            </w:r>
          </w:p>
        </w:tc>
        <w:tc>
          <w:tcPr>
            <w:tcW w:type="dxa" w:w="1728"/>
          </w:tcPr>
          <w:p>
            <w:pPr>
              <w:spacing w:line="360" w:lineRule="auto" w:after="0" w:before="0"/>
              <w:ind w:firstLine="0"/>
              <w:jc w:val="left"/>
            </w:pPr>
            <w:r/>
            <w:r>
              <w:rPr>
                <w:rFonts w:ascii="宋体" w:hAnsi="宋体" w:eastAsia="宋体"/>
                <w:b w:val="0"/>
                <w:sz w:val="21"/>
              </w:rPr>
              <w:t>强化/互补/解释/弱关联</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V32 视觉-听觉关系</w:t>
            </w:r>
          </w:p>
        </w:tc>
        <w:tc>
          <w:tcPr>
            <w:tcW w:type="dxa" w:w="1728"/>
          </w:tcPr>
          <w:p>
            <w:pPr>
              <w:spacing w:line="360" w:lineRule="auto" w:after="0" w:before="0"/>
              <w:ind w:firstLine="0"/>
              <w:jc w:val="left"/>
            </w:pPr>
            <w:r/>
            <w:r>
              <w:rPr>
                <w:rFonts w:ascii="宋体" w:hAnsi="宋体" w:eastAsia="宋体"/>
                <w:b w:val="0"/>
                <w:sz w:val="21"/>
              </w:rPr>
              <w:t>判断画面与声音之间的协同方式</w:t>
            </w:r>
          </w:p>
        </w:tc>
        <w:tc>
          <w:tcPr>
            <w:tcW w:type="dxa" w:w="1728"/>
          </w:tcPr>
          <w:p>
            <w:pPr>
              <w:spacing w:line="360" w:lineRule="auto" w:after="0" w:before="0"/>
              <w:ind w:firstLine="0"/>
              <w:jc w:val="left"/>
            </w:pPr>
            <w:r/>
            <w:r>
              <w:rPr>
                <w:rFonts w:ascii="宋体" w:hAnsi="宋体" w:eastAsia="宋体"/>
                <w:b w:val="0"/>
                <w:sz w:val="21"/>
              </w:rPr>
              <w:t>强化/互补/渲染/弱关联</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V33 语言-听觉关系</w:t>
            </w:r>
          </w:p>
        </w:tc>
        <w:tc>
          <w:tcPr>
            <w:tcW w:type="dxa" w:w="1728"/>
          </w:tcPr>
          <w:p>
            <w:pPr>
              <w:spacing w:line="360" w:lineRule="auto" w:after="0" w:before="0"/>
              <w:ind w:firstLine="0"/>
              <w:jc w:val="left"/>
            </w:pPr>
            <w:r/>
            <w:r>
              <w:rPr>
                <w:rFonts w:ascii="宋体" w:hAnsi="宋体" w:eastAsia="宋体"/>
                <w:b w:val="0"/>
                <w:sz w:val="21"/>
              </w:rPr>
              <w:t>判断文案、旁白与声音氛围的匹配程度</w:t>
            </w:r>
          </w:p>
        </w:tc>
        <w:tc>
          <w:tcPr>
            <w:tcW w:type="dxa" w:w="1728"/>
          </w:tcPr>
          <w:p>
            <w:pPr>
              <w:spacing w:line="360" w:lineRule="auto" w:after="0" w:before="0"/>
              <w:ind w:firstLine="0"/>
              <w:jc w:val="left"/>
            </w:pPr>
            <w:r/>
            <w:r>
              <w:rPr>
                <w:rFonts w:ascii="宋体" w:hAnsi="宋体" w:eastAsia="宋体"/>
                <w:b w:val="0"/>
                <w:sz w:val="21"/>
              </w:rPr>
              <w:t>强化/互补/反差/弱关联</w:t>
            </w:r>
          </w:p>
        </w:tc>
        <w:tc>
          <w:tcPr>
            <w:tcW w:type="dxa" w:w="1728"/>
          </w:tcPr>
          <w:p>
            <w:pPr>
              <w:spacing w:line="360" w:lineRule="auto" w:after="0" w:before="0"/>
              <w:ind w:firstLine="0"/>
              <w:jc w:val="left"/>
            </w:pPr>
            <w:r/>
            <w:r>
              <w:rPr>
                <w:rFonts w:ascii="宋体" w:hAnsi="宋体" w:eastAsia="宋体"/>
                <w:b w:val="0"/>
                <w:sz w:val="21"/>
              </w:rPr>
              <w:t>名义尺度</w:t>
            </w:r>
          </w:p>
        </w:tc>
      </w:tr>
      <w:tr>
        <w:tc>
          <w:tcPr>
            <w:tcW w:type="dxa" w:w="1728"/>
          </w:tcPr>
          <w:p>
            <w:pPr>
              <w:spacing w:line="360" w:lineRule="auto" w:after="0" w:before="0"/>
              <w:ind w:firstLine="0"/>
              <w:jc w:val="left"/>
            </w:pPr>
            <w:r/>
            <w:r>
              <w:rPr>
                <w:rFonts w:ascii="宋体" w:hAnsi="宋体" w:eastAsia="宋体"/>
                <w:b w:val="0"/>
                <w:sz w:val="21"/>
              </w:rPr>
              <w:t>模态关系层</w:t>
            </w:r>
          </w:p>
        </w:tc>
        <w:tc>
          <w:tcPr>
            <w:tcW w:type="dxa" w:w="1728"/>
          </w:tcPr>
          <w:p>
            <w:pPr>
              <w:spacing w:line="360" w:lineRule="auto" w:after="0" w:before="0"/>
              <w:ind w:firstLine="0"/>
              <w:jc w:val="left"/>
            </w:pPr>
            <w:r/>
            <w:r>
              <w:rPr>
                <w:rFonts w:ascii="宋体" w:hAnsi="宋体" w:eastAsia="宋体"/>
                <w:b w:val="0"/>
                <w:sz w:val="21"/>
              </w:rPr>
              <w:t>V34 整体模态协调度</w:t>
            </w:r>
          </w:p>
        </w:tc>
        <w:tc>
          <w:tcPr>
            <w:tcW w:type="dxa" w:w="1728"/>
          </w:tcPr>
          <w:p>
            <w:pPr>
              <w:spacing w:line="360" w:lineRule="auto" w:after="0" w:before="0"/>
              <w:ind w:firstLine="0"/>
              <w:jc w:val="left"/>
            </w:pPr>
            <w:r/>
            <w:r>
              <w:rPr>
                <w:rFonts w:ascii="宋体" w:hAnsi="宋体" w:eastAsia="宋体"/>
                <w:b w:val="0"/>
                <w:sz w:val="21"/>
              </w:rPr>
              <w:t>综合判断多模态资源的整体一致性与连贯性</w:t>
            </w:r>
          </w:p>
        </w:tc>
        <w:tc>
          <w:tcPr>
            <w:tcW w:type="dxa" w:w="1728"/>
          </w:tcPr>
          <w:p>
            <w:pPr>
              <w:spacing w:line="360" w:lineRule="auto" w:after="0" w:before="0"/>
              <w:ind w:firstLine="0"/>
              <w:jc w:val="left"/>
            </w:pPr>
            <w:r/>
            <w:r>
              <w:rPr>
                <w:rFonts w:ascii="宋体" w:hAnsi="宋体" w:eastAsia="宋体"/>
                <w:b w:val="0"/>
                <w:sz w:val="21"/>
              </w:rPr>
              <w:t>1=低，2=中，3=高</w:t>
            </w:r>
          </w:p>
        </w:tc>
        <w:tc>
          <w:tcPr>
            <w:tcW w:type="dxa" w:w="1728"/>
          </w:tcPr>
          <w:p>
            <w:pPr>
              <w:spacing w:line="360" w:lineRule="auto" w:after="0" w:before="0"/>
              <w:ind w:firstLine="0"/>
              <w:jc w:val="left"/>
            </w:pPr>
            <w:r/>
            <w:r>
              <w:rPr>
                <w:rFonts w:ascii="宋体" w:hAnsi="宋体" w:eastAsia="宋体"/>
                <w:b w:val="0"/>
                <w:sz w:val="21"/>
              </w:rPr>
              <w:t>顺序尺度</w:t>
            </w:r>
          </w:p>
        </w:tc>
      </w:tr>
    </w:tbl>
    <w:p>
      <w:pPr>
        <w:spacing w:line="360" w:lineRule="auto" w:after="0" w:before="0"/>
        <w:ind w:firstLine="480"/>
      </w:pPr>
      <w:r>
        <w:rPr>
          <w:rFonts w:ascii="宋体" w:hAnsi="宋体" w:eastAsia="宋体"/>
          <w:b w:val="0"/>
          <w:sz w:val="24"/>
        </w:rPr>
        <w:t>正式编码时，每一变量均设置统一变量名与赋值规则；如遇信息缺失或样本中无法判断的情况，统一记为缺失值并在统计阶段单独处理。对同时具备多重特征的样本，优先依据主导模态、出现频率最高的特征或品牌传播重心进行赋值，并在预编码阶段进一步细化判准，以提高编码一致性。对表达层和模态关系层变量而言，片段层记录仅作为判断依据，正式统计时均回收到视频层变量，再对全部样本进行频数、占比和交叉分析。</w:t>
      </w:r>
    </w:p>
    <w:p>
      <w:pPr>
        <w:pStyle w:val="Heading2"/>
        <w:spacing w:before="120" w:after="60" w:line="360" w:lineRule="auto"/>
      </w:pPr>
      <w:r>
        <w:rPr>
          <w:rFonts w:ascii="黑体" w:hAnsi="黑体" w:eastAsia="黑体"/>
          <w:b/>
          <w:sz w:val="24"/>
        </w:rPr>
        <w:t>4.6 研究实施步骤与质量控制</w:t>
      </w:r>
    </w:p>
    <w:p>
      <w:pPr>
        <w:spacing w:line="360" w:lineRule="auto" w:after="0" w:before="0"/>
        <w:ind w:firstLine="480"/>
      </w:pPr>
      <w:r>
        <w:rPr>
          <w:rFonts w:ascii="宋体" w:hAnsi="宋体" w:eastAsia="宋体"/>
          <w:b w:val="0"/>
          <w:sz w:val="24"/>
        </w:rPr>
        <w:t>本研究拟分五步实施。第一步，建立样本候选池并完成样本筛选，为每个案例整理品牌属性、发布时间、传播平台和AIGC可核验依据。第二步，制作编码表并进行预编码，随机抽取部分样本测试编码维度是否清晰、是否存在变量重叠或无法判断的情况。第三步，根据预编码结果修订正式编码手册，并对60条正式样本进行转录、切分、标注和编码；其中，片段层标注主要用于提取语言、视觉、听觉及模态关系信息，最终仍需统一汇总为视频层变量。第四步，将视频层编码结果录入统计表，对全部样本进行频数统计、占比分析和交叉分析。第五步，在统计结果基础上选取代表性案例进行补充解释，总结AIGC品牌视频广告的主要品牌形象呈现模式和常见问题。</w:t>
      </w:r>
    </w:p>
    <w:p>
      <w:pPr>
        <w:spacing w:line="360" w:lineRule="auto" w:after="0" w:before="0"/>
        <w:ind w:firstLine="480"/>
      </w:pPr>
      <w:r>
        <w:rPr>
          <w:rFonts w:ascii="宋体" w:hAnsi="宋体" w:eastAsia="宋体"/>
          <w:b w:val="0"/>
          <w:sz w:val="24"/>
        </w:rPr>
        <w:t>为提高量化编码研究的可靠性与有效性，本文将采取以下控制措施：一是在正式编码前形成明确的工作定义和编码说明，尽量减少概念模糊和判断分歧；二是对部分样本进行双人复编码，并通过一致性检验评估编码信度，若发现低一致变量则返回修订编码规则；三是所有统计结果均回到原始视频文本进行核对，避免因编码简化而扭曲文本意义；四是对研究结论坚持描述性和解释性边界，不把非概率样本的统计分布直接写成总体规律，也不把相关分布直接上升为因果机制。</w:t>
      </w:r>
    </w:p>
    <w:p>
      <w:pPr>
        <w:pStyle w:val="Heading1"/>
        <w:spacing w:before="120" w:after="60" w:line="360" w:lineRule="auto"/>
      </w:pPr>
      <w:r>
        <w:rPr>
          <w:rFonts w:ascii="黑体" w:hAnsi="黑体" w:eastAsia="黑体"/>
          <w:b/>
          <w:sz w:val="28"/>
        </w:rPr>
        <w:t>五、目前工作进展情况、存在问题及解决的方法和措施</w:t>
      </w:r>
    </w:p>
    <w:p>
      <w:pPr>
        <w:pStyle w:val="Heading2"/>
        <w:spacing w:before="120" w:after="60" w:line="360" w:lineRule="auto"/>
      </w:pPr>
      <w:r>
        <w:rPr>
          <w:rFonts w:ascii="黑体" w:hAnsi="黑体" w:eastAsia="黑体"/>
          <w:b/>
          <w:sz w:val="24"/>
        </w:rPr>
        <w:t>5.1 目前工作进展情况</w:t>
      </w:r>
    </w:p>
    <w:p>
      <w:pPr>
        <w:spacing w:line="360" w:lineRule="auto" w:after="0" w:before="0"/>
        <w:ind w:firstLine="480"/>
      </w:pPr>
      <w:r>
        <w:rPr>
          <w:rFonts w:ascii="宋体" w:hAnsi="宋体" w:eastAsia="宋体"/>
          <w:b w:val="0"/>
          <w:sz w:val="24"/>
        </w:rPr>
        <w:t>现阶段，本课题已经完成三项基础工作。第一，研究选题已完成聚焦，明确将研究对象限定为AIGC品牌视频广告，而不再采用人工广告与AIGC广告的双对象比较设计。第二，文献链条已完成初步梳理，基本形成“多模态话语分析理论与应用—视频广告与品牌形象建构—AIGC视频广告—研究缺口”的综述框架。第三，已开始参考多模态硕士论文的研究设计，初步提炼出适用于本研究的样本筛选原则、编码维度和量化分析路径。</w:t>
      </w:r>
    </w:p>
    <w:p>
      <w:pPr>
        <w:pStyle w:val="Heading2"/>
        <w:spacing w:before="120" w:after="60" w:line="360" w:lineRule="auto"/>
      </w:pPr>
      <w:r>
        <w:rPr>
          <w:rFonts w:ascii="黑体" w:hAnsi="黑体" w:eastAsia="黑体"/>
          <w:b/>
          <w:sz w:val="24"/>
        </w:rPr>
        <w:t>5.2 当前存在的主要问题</w:t>
      </w:r>
    </w:p>
    <w:p>
      <w:pPr>
        <w:spacing w:line="360" w:lineRule="auto" w:after="0" w:before="0"/>
        <w:ind w:firstLine="480"/>
      </w:pPr>
      <w:r>
        <w:rPr>
          <w:rFonts w:ascii="宋体" w:hAnsi="宋体" w:eastAsia="宋体"/>
          <w:b w:val="0"/>
          <w:sz w:val="24"/>
        </w:rPr>
        <w:t>5.2.1 品牌形象相关文献仍需进一步补充</w:t>
      </w:r>
    </w:p>
    <w:p>
      <w:pPr>
        <w:spacing w:line="360" w:lineRule="auto" w:after="0" w:before="0"/>
        <w:ind w:firstLine="480"/>
      </w:pPr>
      <w:r>
        <w:rPr>
          <w:rFonts w:ascii="宋体" w:hAnsi="宋体" w:eastAsia="宋体"/>
          <w:b w:val="0"/>
          <w:sz w:val="24"/>
        </w:rPr>
        <w:t>目前关于AIGC广告应用与效果的文献相对较多，但与品牌形象建构直接相关的经典研究和可用于细化分析维度的成果仍需继续补充，以增强理论支撑的完整性。</w:t>
      </w:r>
    </w:p>
    <w:p>
      <w:pPr>
        <w:spacing w:line="360" w:lineRule="auto" w:after="0" w:before="0"/>
        <w:ind w:firstLine="480"/>
      </w:pPr>
      <w:r>
        <w:rPr>
          <w:rFonts w:ascii="宋体" w:hAnsi="宋体" w:eastAsia="宋体"/>
          <w:b w:val="0"/>
          <w:sz w:val="24"/>
        </w:rPr>
        <w:t>5.2.2 样本边界与编码规则仍需进一步细化</w:t>
      </w:r>
    </w:p>
    <w:p>
      <w:pPr>
        <w:spacing w:line="360" w:lineRule="auto" w:after="0" w:before="0"/>
        <w:ind w:firstLine="480"/>
      </w:pPr>
      <w:r>
        <w:rPr>
          <w:rFonts w:ascii="宋体" w:hAnsi="宋体" w:eastAsia="宋体"/>
          <w:b w:val="0"/>
          <w:sz w:val="24"/>
        </w:rPr>
        <w:t>当前AIGC品牌视频广告大多属于人机协同产物，部分作品虽使用AI，但未必适合纳入本研究；部分作品虽具有品牌属性，但AIGC介入程度难以核验。同时，部分变量如“情感形象突出程度”“模态协调度”等仍需进一步明确工作定义，才能进入正式编码。</w:t>
      </w:r>
    </w:p>
    <w:p>
      <w:pPr>
        <w:spacing w:line="360" w:lineRule="auto" w:after="0" w:before="0"/>
        <w:ind w:firstLine="480"/>
      </w:pPr>
      <w:r>
        <w:rPr>
          <w:rFonts w:ascii="宋体" w:hAnsi="宋体" w:eastAsia="宋体"/>
          <w:b w:val="0"/>
          <w:sz w:val="24"/>
        </w:rPr>
        <w:t>5.2.3 量化编码存在信度控制与过度简化风险</w:t>
      </w:r>
    </w:p>
    <w:p>
      <w:pPr>
        <w:spacing w:line="360" w:lineRule="auto" w:after="0" w:before="0"/>
        <w:ind w:firstLine="480"/>
      </w:pPr>
      <w:r>
        <w:rPr>
          <w:rFonts w:ascii="宋体" w:hAnsi="宋体" w:eastAsia="宋体"/>
          <w:b w:val="0"/>
          <w:sz w:val="24"/>
        </w:rPr>
        <w:t>量化编码有助于提高研究的系统性，但若编码维度界定不清、不同编码者判断标准不一致，容易影响结果稳定性；同时，若过度依赖数字分布，也可能削弱对广告文本细节和品牌意义的解释力。</w:t>
      </w:r>
    </w:p>
    <w:p>
      <w:pPr>
        <w:pStyle w:val="Heading2"/>
        <w:spacing w:before="120" w:after="60" w:line="360" w:lineRule="auto"/>
      </w:pPr>
      <w:r>
        <w:rPr>
          <w:rFonts w:ascii="黑体" w:hAnsi="黑体" w:eastAsia="黑体"/>
          <w:b/>
          <w:sz w:val="24"/>
        </w:rPr>
        <w:t>5.3 解决的方法和措施</w:t>
      </w:r>
    </w:p>
    <w:p>
      <w:pPr>
        <w:spacing w:line="360" w:lineRule="auto" w:after="0" w:before="0"/>
        <w:ind w:firstLine="480"/>
      </w:pPr>
      <w:r>
        <w:rPr>
          <w:rFonts w:ascii="宋体" w:hAnsi="宋体" w:eastAsia="宋体"/>
          <w:b w:val="0"/>
          <w:sz w:val="24"/>
        </w:rPr>
        <w:t>5.3.1 继续补充品牌形象与视频广告研究文献</w:t>
      </w:r>
    </w:p>
    <w:p>
      <w:pPr>
        <w:spacing w:line="360" w:lineRule="auto" w:after="0" w:before="0"/>
        <w:ind w:firstLine="480"/>
      </w:pPr>
      <w:r>
        <w:rPr>
          <w:rFonts w:ascii="宋体" w:hAnsi="宋体" w:eastAsia="宋体"/>
          <w:b w:val="0"/>
          <w:sz w:val="24"/>
        </w:rPr>
        <w:t>后续将围绕品牌形象维度、视频广告叙事、品牌符号表达与多模态传播等主题继续补充文献，并在已有AIGC研究基础上形成更完整的综述结构。</w:t>
      </w:r>
    </w:p>
    <w:p>
      <w:pPr>
        <w:spacing w:line="360" w:lineRule="auto" w:after="0" w:before="0"/>
        <w:ind w:firstLine="480"/>
      </w:pPr>
      <w:r>
        <w:rPr>
          <w:rFonts w:ascii="宋体" w:hAnsi="宋体" w:eastAsia="宋体"/>
          <w:b w:val="0"/>
          <w:sz w:val="24"/>
        </w:rPr>
        <w:t>5.3.2 明确样本纳入规则并完善编码手册</w:t>
      </w:r>
    </w:p>
    <w:p>
      <w:pPr>
        <w:spacing w:line="360" w:lineRule="auto" w:after="0" w:before="0"/>
        <w:ind w:firstLine="480"/>
      </w:pPr>
      <w:r>
        <w:rPr>
          <w:rFonts w:ascii="宋体" w:hAnsi="宋体" w:eastAsia="宋体"/>
          <w:b w:val="0"/>
          <w:sz w:val="24"/>
        </w:rPr>
        <w:t>对每个候选案例记录品牌属性、发布时间、传播平台、AIGC可核验说明和文本完整度，对界定模糊的案例采取从严处理。同时，在正式编码前对各变量给出操作性定义、赋值规则和判断示例，降低编码歧义。</w:t>
      </w:r>
    </w:p>
    <w:p>
      <w:pPr>
        <w:spacing w:line="360" w:lineRule="auto" w:after="0" w:before="0"/>
        <w:ind w:firstLine="480"/>
      </w:pPr>
      <w:r>
        <w:rPr>
          <w:rFonts w:ascii="宋体" w:hAnsi="宋体" w:eastAsia="宋体"/>
          <w:b w:val="0"/>
          <w:sz w:val="24"/>
        </w:rPr>
        <w:t>5.3.3 通过预编码和复编码控制信度与解释边界</w:t>
      </w:r>
    </w:p>
    <w:p>
      <w:pPr>
        <w:spacing w:line="360" w:lineRule="auto" w:after="0" w:before="0"/>
        <w:ind w:firstLine="480"/>
      </w:pPr>
      <w:r>
        <w:rPr>
          <w:rFonts w:ascii="宋体" w:hAnsi="宋体" w:eastAsia="宋体"/>
          <w:b w:val="0"/>
          <w:sz w:val="24"/>
        </w:rPr>
        <w:t>在正式编码前先进行预编码，根据问题调整变量设置；正式编码阶段对部分样本实施双人复编码并进行一致性检验。对于量化结果无法充分解释的部分，再回到典型案例作补充分析；在涉及技术机制解释时，采用审慎措辞，避免把统计分布直接写成确定因果。</w:t>
      </w:r>
    </w:p>
    <w:p>
      <w:pPr>
        <w:pStyle w:val="Heading1"/>
        <w:spacing w:before="120" w:after="60" w:line="360" w:lineRule="auto"/>
      </w:pPr>
      <w:r>
        <w:rPr>
          <w:rFonts w:ascii="黑体" w:hAnsi="黑体" w:eastAsia="黑体"/>
          <w:b/>
          <w:sz w:val="28"/>
        </w:rPr>
        <w:t>六、完成论文时间及预期结果</w:t>
      </w:r>
    </w:p>
    <w:p>
      <w:pPr>
        <w:pStyle w:val="Heading2"/>
        <w:spacing w:before="120" w:after="60" w:line="360" w:lineRule="auto"/>
      </w:pPr>
      <w:r>
        <w:rPr>
          <w:rFonts w:ascii="黑体" w:hAnsi="黑体" w:eastAsia="黑体"/>
          <w:b/>
          <w:sz w:val="24"/>
        </w:rPr>
        <w:t>6.1 完成论文的时间安排</w:t>
      </w:r>
    </w:p>
    <w:p>
      <w:pPr>
        <w:spacing w:line="360" w:lineRule="auto" w:after="0" w:before="0"/>
        <w:ind w:firstLine="480"/>
      </w:pPr>
      <w:r>
        <w:rPr>
          <w:rFonts w:ascii="宋体" w:hAnsi="宋体" w:eastAsia="宋体"/>
          <w:b w:val="0"/>
          <w:sz w:val="24"/>
        </w:rPr>
        <w:t>2026年6月下旬至2026年7月：进一步完善开题报告，补充文献综述，完成核心概念界定与案例候选池整理。</w:t>
      </w:r>
    </w:p>
    <w:p>
      <w:pPr>
        <w:spacing w:line="360" w:lineRule="auto" w:after="0" w:before="0"/>
        <w:ind w:firstLine="480"/>
      </w:pPr>
      <w:r>
        <w:rPr>
          <w:rFonts w:ascii="宋体" w:hAnsi="宋体" w:eastAsia="宋体"/>
          <w:b w:val="0"/>
          <w:sz w:val="24"/>
        </w:rPr>
        <w:t>2026年8月至2026年9月：确定正式样本，完成样本库整理、预编码和正式编码手册修订。</w:t>
      </w:r>
    </w:p>
    <w:p>
      <w:pPr>
        <w:spacing w:line="360" w:lineRule="auto" w:after="0" w:before="0"/>
        <w:ind w:firstLine="480"/>
      </w:pPr>
      <w:r>
        <w:rPr>
          <w:rFonts w:ascii="宋体" w:hAnsi="宋体" w:eastAsia="宋体"/>
          <w:b w:val="0"/>
          <w:sz w:val="24"/>
        </w:rPr>
        <w:t>2026年10月至2026年11月：开展正式编码、统计分析和典型案例回看，初步归纳品牌形象呈现模式。</w:t>
      </w:r>
    </w:p>
    <w:p>
      <w:pPr>
        <w:spacing w:line="360" w:lineRule="auto" w:after="0" w:before="0"/>
        <w:ind w:firstLine="480"/>
      </w:pPr>
      <w:r>
        <w:rPr>
          <w:rFonts w:ascii="宋体" w:hAnsi="宋体" w:eastAsia="宋体"/>
          <w:b w:val="0"/>
          <w:sz w:val="24"/>
        </w:rPr>
        <w:t>2026年12月至2027年2月：完成论文主体写作，整合文献综述、研究设计、编码结果、案例解释与策略总结。</w:t>
      </w:r>
    </w:p>
    <w:p>
      <w:pPr>
        <w:spacing w:line="360" w:lineRule="auto" w:after="0" w:before="0"/>
        <w:ind w:firstLine="480"/>
      </w:pPr>
      <w:r>
        <w:rPr>
          <w:rFonts w:ascii="宋体" w:hAnsi="宋体" w:eastAsia="宋体"/>
          <w:b w:val="0"/>
          <w:sz w:val="24"/>
        </w:rPr>
        <w:t>2027年3月：根据指导意见修改完善，完成定稿、格式统一与参考文献核校。</w:t>
      </w:r>
    </w:p>
    <w:p>
      <w:pPr>
        <w:pStyle w:val="Heading2"/>
        <w:spacing w:before="120" w:after="60" w:line="360" w:lineRule="auto"/>
      </w:pPr>
      <w:r>
        <w:rPr>
          <w:rFonts w:ascii="黑体" w:hAnsi="黑体" w:eastAsia="黑体"/>
          <w:b/>
          <w:sz w:val="24"/>
        </w:rPr>
        <w:t>6.2 预期结果</w:t>
      </w:r>
    </w:p>
    <w:p>
      <w:pPr>
        <w:spacing w:line="360" w:lineRule="auto" w:after="0" w:before="0"/>
        <w:ind w:firstLine="480"/>
      </w:pPr>
      <w:r>
        <w:rPr>
          <w:rFonts w:ascii="宋体" w:hAnsi="宋体" w:eastAsia="宋体"/>
          <w:b w:val="0"/>
          <w:sz w:val="24"/>
        </w:rPr>
        <w:t>本课题预计形成三项成果。第一，完成一篇围绕AIGC品牌视频广告品牌形象呈现方式的学位论文。第二，形成一套基于多模态话语分析和量化内容编码的AIGC品牌视频广告分析框架，可用于描述和解释广告文本中的品牌形象呈现方式。第三，在统计分析和案例解释基础上总结当前AIGC品牌视频广告的主要呈现模式、常见问题及优化方向，为后续相关研究和品牌实践提供参考。</w:t>
      </w:r>
    </w:p>
    <w:p>
      <w:pPr>
        <w:spacing w:line="360" w:lineRule="auto" w:after="0" w:before="0"/>
        <w:ind w:firstLine="480"/>
      </w:pPr>
      <w:r>
        <w:rPr>
          <w:rFonts w:ascii="宋体" w:hAnsi="宋体" w:eastAsia="宋体"/>
          <w:b w:val="0"/>
          <w:sz w:val="24"/>
        </w:rPr>
        <w:t>需要说明的是，本文参考文献的最终条目仍需在后续写作中依据已核验元数据统一整理并按学校格式规范化处理。</w:t>
      </w:r>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