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2"/>
        </w:rPr>
        <w:t>多模态话语视角下AIGC视频广告品牌形象建构策略研究</w:t>
      </w:r>
    </w:p>
    <w:p>
      <w:pPr>
        <w:pStyle w:val="Heading1"/>
        <w:spacing w:before="120" w:after="60" w:line="360" w:lineRule="auto"/>
      </w:pPr>
      <w:r>
        <w:rPr>
          <w:rFonts w:ascii="黑体" w:hAnsi="黑体" w:eastAsia="黑体"/>
          <w:b/>
          <w:sz w:val="28"/>
        </w:rPr>
        <w:t>一、课题的来源及选择本课题的指导思想</w:t>
      </w:r>
    </w:p>
    <w:p>
      <w:pPr>
        <w:pStyle w:val="Heading2"/>
        <w:spacing w:before="120" w:after="60" w:line="360" w:lineRule="auto"/>
      </w:pPr>
      <w:r>
        <w:rPr>
          <w:rFonts w:ascii="黑体" w:hAnsi="黑体" w:eastAsia="黑体"/>
          <w:b/>
          <w:sz w:val="24"/>
        </w:rPr>
        <w:t>1.1 课题提出的现实背景</w:t>
      </w:r>
    </w:p>
    <w:p>
      <w:pPr>
        <w:spacing w:line="360" w:lineRule="auto" w:after="0" w:before="0"/>
        <w:ind w:firstLine="480"/>
      </w:pPr>
      <w:r>
        <w:rPr>
          <w:rFonts w:ascii="宋体" w:hAnsi="宋体" w:eastAsia="宋体"/>
          <w:b w:val="0"/>
          <w:sz w:val="24"/>
        </w:rPr>
        <w:t>近两年，生成式人工智能技术快速进入广告内容生产链条，应用范围已从文案撰写、图片生成扩展到脚本构思、分镜设计、角色塑造、配音配乐、视频生成与智能剪辑等多个环节。段淳林、魏方（2025）指出，计算广告正由“大数据驱动”转向“知识生成驱动”；张可（2025）也认为，生成式人工智能正在重塑广告的生产逻辑与传播方式。由此可见，AIGC对广告行业的影响已不只是单点提效，而是对内容生产方式的整体改造。</w:t>
      </w:r>
    </w:p>
    <w:p>
      <w:pPr>
        <w:spacing w:line="360" w:lineRule="auto" w:after="0" w:before="0"/>
        <w:ind w:firstLine="480"/>
      </w:pPr>
      <w:r>
        <w:rPr>
          <w:rFonts w:ascii="宋体" w:hAnsi="宋体" w:eastAsia="宋体"/>
          <w:b w:val="0"/>
          <w:sz w:val="24"/>
        </w:rPr>
        <w:t>在这一变化中，视频广告尤为值得关注。相较于平面广告和纯文本广告，视频广告具有语言、画面、音乐、音效、字幕、镜头运动和剪辑节奏等多种符号资源协同运作的特征，是一种典型的动态多模态语篇。品牌越来越依赖视频广告来传递品牌理念、产品价值、生活方式想象与情感氛围，因此，AIGC进入视频广告创作后，最值得研究的问题不仅是“生产效率是否提高”，更是“品牌形象如何被重新建构”。</w:t>
      </w:r>
    </w:p>
    <w:p>
      <w:pPr>
        <w:pStyle w:val="Heading2"/>
        <w:spacing w:before="120" w:after="60" w:line="360" w:lineRule="auto"/>
      </w:pPr>
      <w:r>
        <w:rPr>
          <w:rFonts w:ascii="黑体" w:hAnsi="黑体" w:eastAsia="黑体"/>
          <w:b/>
          <w:sz w:val="24"/>
        </w:rPr>
        <w:t>1.2 AIGC进入品牌视频广告创作后带来的新问题</w:t>
      </w:r>
    </w:p>
    <w:p>
      <w:pPr>
        <w:spacing w:line="360" w:lineRule="auto" w:after="0" w:before="0"/>
        <w:ind w:firstLine="480"/>
      </w:pPr>
      <w:r>
        <w:rPr>
          <w:rFonts w:ascii="宋体" w:hAnsi="宋体" w:eastAsia="宋体"/>
          <w:b w:val="0"/>
          <w:sz w:val="24"/>
        </w:rPr>
        <w:t>现有行业实践表明，AIGC能够显著降低视频广告的制作门槛，并强化视觉奇观、场景转换和风格模拟能力。但与此同时，AIGC品牌视频广告也经常面临品牌识别度不足、情感表达单薄、叙事逻辑松散、视觉新奇与品牌意义脱节、平台风格趋同等问题。这说明，AIGC并非只是替代传统制作流程的工具，它还改变了广告中不同模态资源的组织方式，进而影响品牌形象的呈现效果。</w:t>
      </w:r>
    </w:p>
    <w:p>
      <w:pPr>
        <w:spacing w:line="360" w:lineRule="auto" w:after="0" w:before="0"/>
        <w:ind w:firstLine="480"/>
      </w:pPr>
      <w:r>
        <w:rPr>
          <w:rFonts w:ascii="宋体" w:hAnsi="宋体" w:eastAsia="宋体"/>
          <w:b w:val="0"/>
          <w:sz w:val="24"/>
        </w:rPr>
        <w:t>因此，本课题的问题意识不再停留于“AIGC能否用于广告制作”，也不再将重点放在人工广告与AIGC广告的优劣比较上，而是聚焦于一个更具解释力的问题：在AIGC品牌视频广告这一单一研究对象中，语言、视觉、听觉及其协同关系是如何共同建构品牌形象的？又形成了哪些相对稳定的建构策略、常见问题与优化方向？</w:t>
      </w:r>
    </w:p>
    <w:p>
      <w:pPr>
        <w:pStyle w:val="Heading2"/>
        <w:spacing w:before="120" w:after="60" w:line="360" w:lineRule="auto"/>
      </w:pPr>
      <w:r>
        <w:rPr>
          <w:rFonts w:ascii="黑体" w:hAnsi="黑体" w:eastAsia="黑体"/>
          <w:b/>
          <w:sz w:val="24"/>
        </w:rPr>
        <w:t>1.3 本课题的学术转化路径</w:t>
      </w:r>
    </w:p>
    <w:p>
      <w:pPr>
        <w:spacing w:line="360" w:lineRule="auto" w:after="0" w:before="0"/>
        <w:ind w:firstLine="480"/>
      </w:pPr>
      <w:r>
        <w:rPr>
          <w:rFonts w:ascii="宋体" w:hAnsi="宋体" w:eastAsia="宋体"/>
          <w:b w:val="0"/>
          <w:sz w:val="24"/>
        </w:rPr>
        <w:t>从表面上看，AIGC品牌视频广告属于技术应用现象；但从广告学与传播学角度看，它本质上涉及品牌意义生产机制的变化。品牌形象并不是广告中的附属元素，而是广告通过多种符号资源反复编码、强化和组织之后形成的意义结果。AIGC进入创作流程后，品牌形象的生成不再只依赖人工导演、摄影、文案和后期团队的经验判断，也越来越受到提示词设计、模型生成逻辑、素材筛选机制和平台传播语境的影响。</w:t>
      </w:r>
    </w:p>
    <w:p>
      <w:pPr>
        <w:spacing w:line="360" w:lineRule="auto" w:after="0" w:before="0"/>
        <w:ind w:firstLine="480"/>
      </w:pPr>
      <w:r>
        <w:rPr>
          <w:rFonts w:ascii="宋体" w:hAnsi="宋体" w:eastAsia="宋体"/>
          <w:b w:val="0"/>
          <w:sz w:val="24"/>
        </w:rPr>
        <w:t>基于此，本研究将现实中的“AIGC品牌视频广告兴起”转化为学术上的“多模态品牌形象建构问题”。研究不以开发视频生成技术或评价工具效率为目标，而是把AIGC品牌视频广告视为一种新型动态多模态文本，分析其如何调动文字、图像、色彩、音乐、音效、镜头与节奏等资源来塑造品牌意义，并进一步总结其建构策略。</w:t>
      </w:r>
    </w:p>
    <w:p>
      <w:pPr>
        <w:pStyle w:val="Heading2"/>
        <w:spacing w:before="120" w:after="60" w:line="360" w:lineRule="auto"/>
      </w:pPr>
      <w:r>
        <w:rPr>
          <w:rFonts w:ascii="黑体" w:hAnsi="黑体" w:eastAsia="黑体"/>
          <w:b/>
          <w:sz w:val="24"/>
        </w:rPr>
        <w:t>1.4 选择本课题的指导思想</w:t>
      </w:r>
    </w:p>
    <w:p>
      <w:pPr>
        <w:spacing w:line="360" w:lineRule="auto" w:after="0" w:before="0"/>
        <w:ind w:firstLine="480"/>
      </w:pPr>
      <w:r>
        <w:rPr>
          <w:rFonts w:ascii="宋体" w:hAnsi="宋体" w:eastAsia="宋体"/>
          <w:b w:val="0"/>
          <w:sz w:val="24"/>
        </w:rPr>
        <w:t>本课题以AIGC品牌视频广告为单一研究对象，坚持问题导向、文本导向与品牌导向相结合的研究思路。所谓问题导向，是从“品牌形象如何建构”这一核心问题出发组织全文，而非围绕技术背景做宽泛介绍；所谓文本导向，是把视频广告作为动态多模态语篇进行细读和比较，重点分析其内部符号结构；所谓品牌导向，是将分析落脚到品牌形象建构，而不是停留在一般性的内容描述层面。</w:t>
      </w:r>
    </w:p>
    <w:p>
      <w:pPr>
        <w:spacing w:line="360" w:lineRule="auto" w:after="0" w:before="0"/>
        <w:ind w:firstLine="480"/>
      </w:pPr>
      <w:r>
        <w:rPr>
          <w:rFonts w:ascii="宋体" w:hAnsi="宋体" w:eastAsia="宋体"/>
          <w:b w:val="0"/>
          <w:sz w:val="24"/>
        </w:rPr>
        <w:t>在具体研究路径上，本文拟以张德禄多模态话语分析框架为理论支撑，选取具有代表性的AIGC品牌视频广告案例，从语言模态、视觉模态、听觉模态及模态协同关系入手，分析品牌形象建构的具体方式，并在跨案例比较基础上提炼策略类型、诊断常见问题，形成面向品牌传播实践的优化建议。</w:t>
      </w:r>
    </w:p>
    <w:p>
      <w:pPr>
        <w:pStyle w:val="Heading1"/>
        <w:spacing w:before="120" w:after="60" w:line="360" w:lineRule="auto"/>
      </w:pPr>
      <w:r>
        <w:rPr>
          <w:rFonts w:ascii="黑体" w:hAnsi="黑体" w:eastAsia="黑体"/>
          <w:b/>
          <w:sz w:val="28"/>
        </w:rPr>
        <w:t>二、文献综述</w:t>
      </w:r>
    </w:p>
    <w:p>
      <w:pPr>
        <w:spacing w:line="360" w:lineRule="auto" w:after="0" w:before="0"/>
        <w:ind w:firstLine="480"/>
      </w:pPr>
      <w:r>
        <w:rPr>
          <w:rFonts w:ascii="宋体" w:hAnsi="宋体" w:eastAsia="宋体"/>
          <w:b w:val="0"/>
          <w:sz w:val="24"/>
        </w:rPr>
        <w:t>参照多模态话语分析论文常见的文献组织方式，本文的文献综述不按作者名单逐一罗列，而按照“方法基础—应用验证—对象研究—问题研究—文献述评”的逻辑推进。具体而言，先梳理多模态话语分析的理论研究及其在动态视听文本中的应用研究，说明本文的方法来源与可用性；再回到视频广告、品牌形象建构与AIGC视频广告研究，说明本文的对象基础与问题基础；最后综合前述研究归纳不足，提出本文的切入点。基于这一思路，本文第二部分形成如下文献框架：2.1多模态话语分析的理论研究，2.2多模态话语分析在动态视听文本中的应用研究，2.3视频广告与品牌形象建构研究，2.4AIGC视频广告研究，2.5文献述评与本文切入点。</w:t>
      </w:r>
    </w:p>
    <w:p>
      <w:pPr>
        <w:pStyle w:val="Heading2"/>
        <w:spacing w:before="120" w:after="60" w:line="360" w:lineRule="auto"/>
      </w:pPr>
      <w:r>
        <w:rPr>
          <w:rFonts w:ascii="黑体" w:hAnsi="黑体" w:eastAsia="黑体"/>
          <w:b/>
          <w:sz w:val="24"/>
        </w:rPr>
        <w:t>2.1 多模态话语分析的理论研究</w:t>
      </w:r>
    </w:p>
    <w:p>
      <w:pPr>
        <w:spacing w:line="360" w:lineRule="auto" w:after="0" w:before="0"/>
        <w:ind w:firstLine="480"/>
      </w:pPr>
      <w:r>
        <w:rPr>
          <w:rFonts w:ascii="宋体" w:hAnsi="宋体" w:eastAsia="宋体"/>
          <w:b w:val="0"/>
          <w:sz w:val="24"/>
        </w:rPr>
        <w:t>在多模态研究领域，学界已逐步形成较为清晰的理论脉络。早期研究主要围绕语言符号展开，随后随着图像、声音、动作、版式和数字界面在传播中的作用不断增强，研究重点逐渐转向多种模态如何共同生产意义。相关理论通常以系统功能语言学、视觉语法和多模态协同理论为主要支撑，强调语篇意义并非由单一语言模态独立完成，而是在不同符号资源的分工、互补和协同中生成。</w:t>
      </w:r>
    </w:p>
    <w:p>
      <w:pPr>
        <w:spacing w:line="360" w:lineRule="auto" w:after="0" w:before="0"/>
        <w:ind w:firstLine="480"/>
      </w:pPr>
      <w:r>
        <w:rPr>
          <w:rFonts w:ascii="宋体" w:hAnsi="宋体" w:eastAsia="宋体"/>
          <w:b w:val="0"/>
          <w:sz w:val="24"/>
        </w:rPr>
        <w:t>张德禄等关于多模态话语分析的研究，为动态视听文本分析提供了较强的方法基础。该框架通常从文化语境、情景语境、内容层和表达层几个层面理解多模态意义生产，同时关注不同模态在概念意义、人际意义和语篇意义上的协同关系。对本研究而言，这一理论价值在于，它能够把广告中的品牌形象呈现从抽象判断转化为可分析的文本结构，使研究者得以具体考察文字、图像、色彩、声音、镜头和节奏如何共同服务于品牌意义建构。</w:t>
      </w:r>
    </w:p>
    <w:p>
      <w:pPr>
        <w:spacing w:line="360" w:lineRule="auto" w:after="0" w:before="0"/>
        <w:ind w:firstLine="480"/>
      </w:pPr>
      <w:r>
        <w:rPr>
          <w:rFonts w:ascii="宋体" w:hAnsi="宋体" w:eastAsia="宋体"/>
          <w:b w:val="0"/>
          <w:sz w:val="24"/>
        </w:rPr>
        <w:t>总体来看，多模态话语分析的理论研究已经为动态语篇分析提供了较成熟的分析工具，但其主要贡献仍集中于框架建构与方法说明。如何将这些理论进一步转化为AIGC品牌视频广告这一新对象的研究方案，仍需结合广告文本特征和品牌传播问题继续推进。</w:t>
      </w:r>
    </w:p>
    <w:p>
      <w:pPr>
        <w:pStyle w:val="Heading2"/>
        <w:spacing w:before="120" w:after="60" w:line="360" w:lineRule="auto"/>
      </w:pPr>
      <w:r>
        <w:rPr>
          <w:rFonts w:ascii="黑体" w:hAnsi="黑体" w:eastAsia="黑体"/>
          <w:b/>
          <w:sz w:val="24"/>
        </w:rPr>
        <w:t>2.2 多模态话语分析在动态视听文本中的应用研究</w:t>
      </w:r>
    </w:p>
    <w:p>
      <w:pPr>
        <w:spacing w:line="360" w:lineRule="auto" w:after="0" w:before="0"/>
        <w:ind w:firstLine="480"/>
      </w:pPr>
      <w:r>
        <w:rPr>
          <w:rFonts w:ascii="宋体" w:hAnsi="宋体" w:eastAsia="宋体"/>
          <w:b w:val="0"/>
          <w:sz w:val="24"/>
        </w:rPr>
        <w:t>从应用层面看，多模态话语分析已广泛用于纪录片、短视频、外宣语篇、城市形象传播等动态视听文本研究。现有相关论文通常会先从语境层面交代传播场景、交际目的和话语对象，再进入语言模态、视觉模态和听觉模态的具体分析，最后讨论不同模态之间的协同关系及其整体意义效果。这说明，多模态话语分析在动态文本研究中已经形成了较稳定的分析路径。</w:t>
      </w:r>
    </w:p>
    <w:p>
      <w:pPr>
        <w:spacing w:line="360" w:lineRule="auto" w:after="0" w:before="0"/>
        <w:ind w:firstLine="480"/>
      </w:pPr>
      <w:r>
        <w:rPr>
          <w:rFonts w:ascii="宋体" w:hAnsi="宋体" w:eastAsia="宋体"/>
          <w:b w:val="0"/>
          <w:sz w:val="24"/>
        </w:rPr>
        <w:t>尤其是在纪录片和短视频研究中，已有研究常沿着“语境分析—模态分析—意义分析—模态关系分析”的逻辑展开：一方面分别讨论语言、视觉和听觉资源如何承担信息传递、情感调动与形象塑造功能；另一方面进一步考察模态之间的互补、强化、联合或张力关系。这类研究证明，多模态话语分析不仅适用于静态图文材料，也能够较稳定地解释动态视频文本中的意义生成过程。</w:t>
      </w:r>
    </w:p>
    <w:p>
      <w:pPr>
        <w:spacing w:line="360" w:lineRule="auto" w:after="0" w:before="0"/>
        <w:ind w:firstLine="480"/>
      </w:pPr>
      <w:r>
        <w:rPr>
          <w:rFonts w:ascii="宋体" w:hAnsi="宋体" w:eastAsia="宋体"/>
          <w:b w:val="0"/>
          <w:sz w:val="24"/>
        </w:rPr>
        <w:t>不过，现有应用研究的对象仍以文化传播、国家形象、非遗传播、新闻语篇等公共传播文本为主，对商业广告特别是AIGC品牌视频广告的直接关注相对不足。换言之，多模态话语分析的方法可用性已经得到验证，但其在AIGC品牌广告研究中的应用空间尚未被充分展开。</w:t>
      </w:r>
    </w:p>
    <w:p>
      <w:pPr>
        <w:pStyle w:val="Heading2"/>
        <w:spacing w:before="120" w:after="60" w:line="360" w:lineRule="auto"/>
      </w:pPr>
      <w:r>
        <w:rPr>
          <w:rFonts w:ascii="黑体" w:hAnsi="黑体" w:eastAsia="黑体"/>
          <w:b/>
          <w:sz w:val="24"/>
        </w:rPr>
        <w:t>2.3 视频广告与品牌形象建构研究</w:t>
      </w:r>
    </w:p>
    <w:p>
      <w:pPr>
        <w:spacing w:line="360" w:lineRule="auto" w:after="0" w:before="0"/>
        <w:ind w:firstLine="480"/>
      </w:pPr>
      <w:r>
        <w:rPr>
          <w:rFonts w:ascii="宋体" w:hAnsi="宋体" w:eastAsia="宋体"/>
          <w:b w:val="0"/>
          <w:sz w:val="24"/>
        </w:rPr>
        <w:t>视频广告研究是本文的重要对象基础。传统广告内容研究通常围绕广告诉求、叙事结构、人物设置、品牌呈现、情感表达和视听风格等维度展开，这些维度不仅用于描述广告“呈现了什么”，也用于解释广告“为何能够影响受众认知与态度”。从这个意义上说，视频广告本身就是一种典型的多模态传播文本，其传播效果在很大程度上取决于不同模态资源的组织方式。</w:t>
      </w:r>
    </w:p>
    <w:p>
      <w:pPr>
        <w:spacing w:line="360" w:lineRule="auto" w:after="0" w:before="0"/>
        <w:ind w:firstLine="480"/>
      </w:pPr>
      <w:r>
        <w:rPr>
          <w:rFonts w:ascii="宋体" w:hAnsi="宋体" w:eastAsia="宋体"/>
          <w:b w:val="0"/>
          <w:sz w:val="24"/>
        </w:rPr>
        <w:t>品牌形象研究则为本文提供了核心问题意识。已有研究普遍认为，品牌形象并不等同于品牌名称、标识或产品露出的简单呈现，而是由功能认知、情感联结、符号认同和价值表达等多个层面共同构成。Keller（1993）在《Conceptualizing, Measuring, and Managing Customer-Based Brand Equity》中进一步将品牌形象界定为消费者记忆中的品牌联想集合，并强调这些联想需要具有较强的强度、好感度和独特性。广告之所以能够参与品牌形象建构，正是因为它能够把抽象的品牌理念转化为可感知、可体验和可记忆的传播内容，并持续塑造上述品牌联想。</w:t>
      </w:r>
    </w:p>
    <w:p>
      <w:pPr>
        <w:spacing w:line="360" w:lineRule="auto" w:after="0" w:before="0"/>
        <w:ind w:firstLine="480"/>
      </w:pPr>
      <w:r>
        <w:rPr>
          <w:rFonts w:ascii="宋体" w:hAnsi="宋体" w:eastAsia="宋体"/>
          <w:b w:val="0"/>
          <w:sz w:val="24"/>
        </w:rPr>
        <w:t>在广告研究中，品牌形象建构通常与叙事场景、角色设计、色彩风格、音乐氛围和价值诉求等要素相联系。尤其在视频广告中，品牌意义的呈现往往依赖语言、视觉和听觉资源的同步调动。这也意味着，品牌形象不仅取决于品牌名称是否出现，还取决于不同模态线索能否共同支撑稳定且有区隔度的品牌联想。总体来看，视频广告研究提供了文本分析的维度基础，品牌形象研究提供了意义判断的核心维度，但现有研究仍多形成于传统人工创作语境，对广告文本内部的多模态品牌意义生产讨论仍不够细化。</w:t>
      </w:r>
    </w:p>
    <w:p>
      <w:pPr>
        <w:pStyle w:val="Heading2"/>
        <w:spacing w:before="120" w:after="60" w:line="360" w:lineRule="auto"/>
      </w:pPr>
      <w:r>
        <w:rPr>
          <w:rFonts w:ascii="黑体" w:hAnsi="黑体" w:eastAsia="黑体"/>
          <w:b/>
          <w:sz w:val="24"/>
        </w:rPr>
        <w:t>2.4 AIGC视频广告研究</w:t>
      </w:r>
    </w:p>
    <w:p>
      <w:pPr>
        <w:spacing w:line="360" w:lineRule="auto" w:after="0" w:before="0"/>
        <w:ind w:firstLine="480"/>
      </w:pPr>
      <w:r>
        <w:rPr>
          <w:rFonts w:ascii="宋体" w:hAnsi="宋体" w:eastAsia="宋体"/>
          <w:b w:val="0"/>
          <w:sz w:val="24"/>
        </w:rPr>
        <w:t>在上述研究基础上，AIGC视频广告研究近年迅速增长。现有研究首先集中于AIGC在广告中的应用方式、生产流程和行业影响。段淳林、陆昊琪（2026）从创意生产角度指出，生成式人工智能已由辅助工具逐渐转变为广告创意的重要参与者；张可（2025）认为，合成广告的发展重构了广告内容生产逻辑和传播模式；闫朋辉、吕正兵（2026）则从短视频生产流程出发，讨论了脚本生成、语音合成、影像生成和智能剪辑的一体化趋势。这类研究较好解释了AIGC如何进入广告生产。</w:t>
      </w:r>
    </w:p>
    <w:p>
      <w:pPr>
        <w:spacing w:line="360" w:lineRule="auto" w:after="0" w:before="0"/>
        <w:ind w:firstLine="480"/>
      </w:pPr>
      <w:r>
        <w:rPr>
          <w:rFonts w:ascii="宋体" w:hAnsi="宋体" w:eastAsia="宋体"/>
          <w:b w:val="0"/>
          <w:sz w:val="24"/>
        </w:rPr>
        <w:t>另一部分研究则关注AIGC广告的传播效果、用户态度和技术采纳，例如考察受众如何理解AI参与创作、从业者如何评价AI视频广告工具，以及真实性、审美性和创造性感知如何影响使用意愿。Liu与Yim（2026）的讨论就体现了这一研究方向。这些研究揭示了AIGC广告的技术条件、产业逻辑和效果反应，为理解AIGC广告何以成为新的品牌传播现象提供了重要背景。</w:t>
      </w:r>
    </w:p>
    <w:p>
      <w:pPr>
        <w:spacing w:line="360" w:lineRule="auto" w:after="0" w:before="0"/>
        <w:ind w:firstLine="480"/>
      </w:pPr>
      <w:r>
        <w:rPr>
          <w:rFonts w:ascii="宋体" w:hAnsi="宋体" w:eastAsia="宋体"/>
          <w:b w:val="0"/>
          <w:sz w:val="24"/>
        </w:rPr>
        <w:t>但总体来看，现有AIGC视频广告研究更多在回答“AIGC如何用于广告生产”以及“AIGC广告会带来何种效果反应”，对于AIGC视频广告作为一种多模态文本，其内部如何组织意义、如何呈现品牌形象、如何形成相对稳定的表达策略，仍缺乏更细的文本层分析。</w:t>
      </w:r>
    </w:p>
    <w:p>
      <w:pPr>
        <w:pStyle w:val="Heading2"/>
        <w:spacing w:before="120" w:after="60" w:line="360" w:lineRule="auto"/>
      </w:pPr>
      <w:r>
        <w:rPr>
          <w:rFonts w:ascii="黑体" w:hAnsi="黑体" w:eastAsia="黑体"/>
          <w:b/>
          <w:sz w:val="24"/>
        </w:rPr>
        <w:t>2.5 文献述评与本文切入点</w:t>
      </w:r>
    </w:p>
    <w:p>
      <w:pPr>
        <w:spacing w:line="360" w:lineRule="auto" w:after="0" w:before="0"/>
        <w:ind w:firstLine="480"/>
      </w:pPr>
      <w:r>
        <w:rPr>
          <w:rFonts w:ascii="宋体" w:hAnsi="宋体" w:eastAsia="宋体"/>
          <w:b w:val="0"/>
          <w:sz w:val="24"/>
        </w:rPr>
        <w:t>综合以上文献，现有研究可以概括为三条互相关联的线索：第一，方法线，即多模态话语分析的理论积累及其在动态视听文本中的应用验证；第二，对象线，即视频广告与AIGC视频广告研究对广告生产逻辑、文本特征和传播场景的讨论；第三，问题线，即品牌形象建构研究对功能、情感、符号和价值维度的揭示。已有研究为本文奠定了较好的基础，但三条线索之间仍存在明显断裂。</w:t>
      </w:r>
    </w:p>
    <w:p>
      <w:pPr>
        <w:spacing w:line="360" w:lineRule="auto" w:after="0" w:before="0"/>
        <w:ind w:firstLine="480"/>
      </w:pPr>
      <w:r>
        <w:rPr>
          <w:rFonts w:ascii="宋体" w:hAnsi="宋体" w:eastAsia="宋体"/>
          <w:b w:val="0"/>
          <w:sz w:val="24"/>
        </w:rPr>
        <w:t>具体而言，现有研究至少存在三点不足：其一，多模态话语分析虽已被证明适合分析纪录片、短视频和外宣语篇等动态文本，但对AIGC品牌视频广告这一商业传播文本关注不足；其二，AIGC视频广告研究偏重技术应用、行业流程和传播效果，对广告文本内部的品牌意义生产分析不够；其三，品牌形象研究虽然揭示了品牌传播的重要维度，但较少进入AIGC语境，也较少从语言、视觉、听觉及其协同关系的角度讨论品牌形象呈现与建构方式。基于此，本文将以AIGC品牌视频广告为单一研究对象，从多模态话语视角考察其品牌形象的文本建构过程，并在跨样本比较基础上总结其相对稳定的建构策略、常见问题和优化方向。</w:t>
      </w:r>
    </w:p>
    <w:p>
      <w:pPr>
        <w:pStyle w:val="Heading1"/>
        <w:spacing w:before="120" w:after="60" w:line="360" w:lineRule="auto"/>
      </w:pPr>
      <w:r>
        <w:rPr>
          <w:rFonts w:ascii="黑体" w:hAnsi="黑体" w:eastAsia="黑体"/>
          <w:b/>
          <w:sz w:val="28"/>
        </w:rPr>
        <w:t>三、本课题研究的内容、目的和意义</w:t>
      </w:r>
    </w:p>
    <w:p>
      <w:pPr>
        <w:pStyle w:val="Heading2"/>
        <w:spacing w:before="120" w:after="60" w:line="360" w:lineRule="auto"/>
      </w:pPr>
      <w:r>
        <w:rPr>
          <w:rFonts w:ascii="黑体" w:hAnsi="黑体" w:eastAsia="黑体"/>
          <w:b/>
          <w:sz w:val="24"/>
        </w:rPr>
        <w:t>3.1 本课题研究的内容</w:t>
      </w:r>
    </w:p>
    <w:p>
      <w:pPr>
        <w:spacing w:line="360" w:lineRule="auto" w:after="0" w:before="0"/>
        <w:ind w:firstLine="480"/>
      </w:pPr>
      <w:r>
        <w:rPr>
          <w:rFonts w:ascii="宋体" w:hAnsi="宋体" w:eastAsia="宋体"/>
          <w:b w:val="0"/>
          <w:sz w:val="24"/>
        </w:rPr>
        <w:t>本课题围绕“AIGC品牌视频广告如何建构品牌形象”这一核心问题展开，主要包括四个方面。</w:t>
      </w:r>
    </w:p>
    <w:p>
      <w:pPr>
        <w:spacing w:line="360" w:lineRule="auto" w:after="0" w:before="0"/>
        <w:ind w:firstLine="480"/>
      </w:pPr>
      <w:r>
        <w:rPr>
          <w:rFonts w:ascii="宋体" w:hAnsi="宋体" w:eastAsia="宋体"/>
          <w:b w:val="0"/>
          <w:sz w:val="24"/>
        </w:rPr>
        <w:t>第一，界定核心概念并建立量化研究框架。本文将对“AIGC品牌视频广告”“品牌形象建构策略”“多模态资源”等核心概念作工作性界定，并在张德禄多模态话语分析框架基础上，形成适用于本研究的量化编码维度。</w:t>
      </w:r>
    </w:p>
    <w:p>
      <w:pPr>
        <w:spacing w:line="360" w:lineRule="auto" w:after="0" w:before="0"/>
        <w:ind w:firstLine="480"/>
      </w:pPr>
      <w:r>
        <w:rPr>
          <w:rFonts w:ascii="宋体" w:hAnsi="宋体" w:eastAsia="宋体"/>
          <w:b w:val="0"/>
          <w:sz w:val="24"/>
        </w:rPr>
        <w:t>第二，构建AIGC品牌视频广告样本库并开展多模态内容编码。研究将从公开发布的AIGC品牌视频广告中进行目的性抽样，形成研究样本，并围绕语境层、表达层、品牌形象意义层和模态关系层建立统一编码表。</w:t>
      </w:r>
    </w:p>
    <w:p>
      <w:pPr>
        <w:spacing w:line="360" w:lineRule="auto" w:after="0" w:before="0"/>
        <w:ind w:firstLine="480"/>
      </w:pPr>
      <w:r>
        <w:rPr>
          <w:rFonts w:ascii="宋体" w:hAnsi="宋体" w:eastAsia="宋体"/>
          <w:b w:val="0"/>
          <w:sz w:val="24"/>
        </w:rPr>
        <w:t>第三，对样本进行统计分析并归纳品牌形象建构策略。研究将通过频数统计、占比分析和交叉分析，考察不同模态资源的使用特征及其组合规律，并在此基础上提炼AIGC品牌视频广告的主要品牌形象建构类型。</w:t>
      </w:r>
    </w:p>
    <w:p>
      <w:pPr>
        <w:spacing w:line="360" w:lineRule="auto" w:after="0" w:before="0"/>
        <w:ind w:firstLine="480"/>
      </w:pPr>
      <w:r>
        <w:rPr>
          <w:rFonts w:ascii="宋体" w:hAnsi="宋体" w:eastAsia="宋体"/>
          <w:b w:val="0"/>
          <w:sz w:val="24"/>
        </w:rPr>
        <w:t>第四，在量化结果基础上结合典型案例进行补充解释，进一步诊断当前AIGC品牌视频广告在品牌形象建构中的常见问题，并提出优化建议。重点关注品牌识别弱化、叙事碎片化、情感表达不足、风格同质化以及技术奇观压过品牌意义等现象。</w:t>
      </w:r>
    </w:p>
    <w:p>
      <w:pPr>
        <w:pStyle w:val="Heading2"/>
        <w:spacing w:before="120" w:after="60" w:line="360" w:lineRule="auto"/>
      </w:pPr>
      <w:r>
        <w:rPr>
          <w:rFonts w:ascii="黑体" w:hAnsi="黑体" w:eastAsia="黑体"/>
          <w:b/>
          <w:sz w:val="24"/>
        </w:rPr>
        <w:t>3.2 本课题研究的目的</w:t>
      </w:r>
    </w:p>
    <w:p>
      <w:pPr>
        <w:spacing w:line="360" w:lineRule="auto" w:after="0" w:before="0"/>
        <w:ind w:firstLine="480"/>
      </w:pPr>
      <w:r>
        <w:rPr>
          <w:rFonts w:ascii="宋体" w:hAnsi="宋体" w:eastAsia="宋体"/>
          <w:b w:val="0"/>
          <w:sz w:val="24"/>
        </w:rPr>
        <w:t>本课题的第一项目的是构建适用于AIGC品牌视频广告研究的量化编码框架，回答这一类广告在多模态资源调动上“呈现了什么”以及“如何呈现”的问题。第二项目的是通过统计分析归纳AIGC品牌视频广告在品牌形象建构中的主要分布特征和组合规律，进一步提炼出若干具有解释力的建构策略。第三项目的是在量化结果和典型案例解释的基础上，为品牌方和创作团队提出更有针对性的优化思路，使AIGC广告创作更好地服务于品牌传播而非止步于视觉展示。</w:t>
      </w:r>
    </w:p>
    <w:p>
      <w:pPr>
        <w:pStyle w:val="Heading2"/>
        <w:spacing w:before="120" w:after="60" w:line="360" w:lineRule="auto"/>
      </w:pPr>
      <w:r>
        <w:rPr>
          <w:rFonts w:ascii="黑体" w:hAnsi="黑体" w:eastAsia="黑体"/>
          <w:b/>
          <w:sz w:val="24"/>
        </w:rPr>
        <w:t>3.3 本课题研究的意义</w:t>
      </w:r>
    </w:p>
    <w:p>
      <w:pPr>
        <w:spacing w:line="360" w:lineRule="auto" w:after="0" w:before="0"/>
        <w:ind w:firstLine="480"/>
      </w:pPr>
      <w:r>
        <w:rPr>
          <w:rFonts w:ascii="宋体" w:hAnsi="宋体" w:eastAsia="宋体"/>
          <w:b w:val="0"/>
          <w:sz w:val="24"/>
        </w:rPr>
        <w:t>本课题兼具理论意义与实践意义。</w:t>
      </w:r>
    </w:p>
    <w:p>
      <w:pPr>
        <w:spacing w:line="360" w:lineRule="auto" w:after="0" w:before="0"/>
        <w:ind w:firstLine="480"/>
      </w:pPr>
      <w:r>
        <w:rPr>
          <w:rFonts w:ascii="宋体" w:hAnsi="宋体" w:eastAsia="宋体"/>
          <w:b w:val="0"/>
          <w:sz w:val="24"/>
        </w:rPr>
        <w:t>在理论层面，第一，研究有助于推动AIGC广告研究由“工具应用”与“传播效果”转向“意义生产”与“品牌形象建构”，丰富现有研究议题。第二，研究能够将品牌形象研究与多模态话语分析结合起来，为AIGC语境下的视频广告研究提供新的分析框架。第三，研究以动态多模态语篇为对象，有助于拓展广告学与传播学在人工智能内容生产情境中的研究边界。</w:t>
      </w:r>
    </w:p>
    <w:p>
      <w:pPr>
        <w:spacing w:line="360" w:lineRule="auto" w:after="0" w:before="0"/>
        <w:ind w:firstLine="480"/>
      </w:pPr>
      <w:r>
        <w:rPr>
          <w:rFonts w:ascii="宋体" w:hAnsi="宋体" w:eastAsia="宋体"/>
          <w:b w:val="0"/>
          <w:sz w:val="24"/>
        </w:rPr>
        <w:t>在实践层面，第一，研究能够为品牌方理解AIGC视频广告的优势与局限提供参考，避免创作中过度依赖技术奇观而忽视品牌一致性。第二，研究可为AIGC广告创作团队提供更明确的品牌表达思路，提升人机协同创作的有效性。第三，研究通过建立可操作的编码维度和分析路径，有助于推动AIGC品牌视频广告研究从零散观察走向相对系统的经验分析。</w:t>
      </w:r>
    </w:p>
    <w:p>
      <w:pPr>
        <w:pStyle w:val="Heading1"/>
        <w:spacing w:before="120" w:after="60" w:line="360" w:lineRule="auto"/>
      </w:pPr>
      <w:r>
        <w:rPr>
          <w:rFonts w:ascii="黑体" w:hAnsi="黑体" w:eastAsia="黑体"/>
          <w:b/>
          <w:sz w:val="28"/>
        </w:rPr>
        <w:t>四、已有研究条件及研究设计方案</w:t>
      </w:r>
    </w:p>
    <w:p>
      <w:pPr>
        <w:pStyle w:val="Heading2"/>
        <w:spacing w:before="120" w:after="60" w:line="360" w:lineRule="auto"/>
      </w:pPr>
      <w:r>
        <w:rPr>
          <w:rFonts w:ascii="黑体" w:hAnsi="黑体" w:eastAsia="黑体"/>
          <w:b/>
          <w:sz w:val="24"/>
        </w:rPr>
        <w:t>4.1 已有研究条件</w:t>
      </w:r>
    </w:p>
    <w:p>
      <w:pPr>
        <w:spacing w:line="360" w:lineRule="auto" w:after="0" w:before="0"/>
        <w:ind w:firstLine="480"/>
      </w:pPr>
      <w:r>
        <w:rPr>
          <w:rFonts w:ascii="宋体" w:hAnsi="宋体" w:eastAsia="宋体"/>
          <w:b w:val="0"/>
          <w:sz w:val="24"/>
        </w:rPr>
        <w:t>（1）样本资源条件</w:t>
      </w:r>
    </w:p>
    <w:p>
      <w:pPr>
        <w:spacing w:line="360" w:lineRule="auto" w:after="0" w:before="0"/>
        <w:ind w:firstLine="480"/>
      </w:pPr>
      <w:r>
        <w:rPr>
          <w:rFonts w:ascii="宋体" w:hAnsi="宋体" w:eastAsia="宋体"/>
          <w:b w:val="0"/>
          <w:sz w:val="24"/>
        </w:rPr>
        <w:t>本研究所需样本主要来自品牌官方账号、品牌传播平台、主流AIGC视频工具公开案例库以及行业报道中可核验的品牌广告作品。相关视频文本公开可得，便于重复观看、转录、切分和编码，具备开展量化内容分析的基本条件。</w:t>
      </w:r>
    </w:p>
    <w:p>
      <w:pPr>
        <w:spacing w:line="360" w:lineRule="auto" w:after="0" w:before="0"/>
        <w:ind w:firstLine="480"/>
      </w:pPr>
      <w:r>
        <w:rPr>
          <w:rFonts w:ascii="宋体" w:hAnsi="宋体" w:eastAsia="宋体"/>
          <w:b w:val="0"/>
          <w:sz w:val="24"/>
        </w:rPr>
        <w:t>（2）文献与理论条件</w:t>
      </w:r>
    </w:p>
    <w:p>
      <w:pPr>
        <w:spacing w:line="360" w:lineRule="auto" w:after="0" w:before="0"/>
        <w:ind w:firstLine="480"/>
      </w:pPr>
      <w:r>
        <w:rPr>
          <w:rFonts w:ascii="宋体" w:hAnsi="宋体" w:eastAsia="宋体"/>
          <w:b w:val="0"/>
          <w:sz w:val="24"/>
        </w:rPr>
        <w:t>前期已围绕AIGC广告应用、品牌视频广告、品牌形象建构以及多模态话语分析等方向完成初步文献整理，并结合张德禄《多模态话语分析理论与外语教学》提炼出本研究所需的分析层级和模态协同思路。同时，已参考本地多模态硕士论文中“语料库构建—编码表制作—统计分析”的研究设计，为本研究采用量化编码路径提供了方法借鉴。</w:t>
      </w:r>
    </w:p>
    <w:p>
      <w:pPr>
        <w:spacing w:line="360" w:lineRule="auto" w:after="0" w:before="0"/>
        <w:ind w:firstLine="480"/>
      </w:pPr>
      <w:r>
        <w:rPr>
          <w:rFonts w:ascii="宋体" w:hAnsi="宋体" w:eastAsia="宋体"/>
          <w:b w:val="0"/>
          <w:sz w:val="24"/>
        </w:rPr>
        <w:t>（3）技术与软件条件</w:t>
      </w:r>
    </w:p>
    <w:p>
      <w:pPr>
        <w:spacing w:line="360" w:lineRule="auto" w:after="0" w:before="0"/>
        <w:ind w:firstLine="480"/>
      </w:pPr>
      <w:r>
        <w:rPr>
          <w:rFonts w:ascii="宋体" w:hAnsi="宋体" w:eastAsia="宋体"/>
          <w:b w:val="0"/>
          <w:sz w:val="24"/>
        </w:rPr>
        <w:t>本研究拟借助视频抽帧、字幕提取、OCR识别等工具辅助整理原始材料，并使用视频标注软件和统计软件建立样本编码库。前者主要用于镜头切分、字幕转录和多模态标注，后者主要用于编码录入、频数统计、占比分析和交叉分析。</w:t>
      </w:r>
    </w:p>
    <w:p>
      <w:pPr>
        <w:pStyle w:val="Heading2"/>
        <w:spacing w:before="120" w:after="60" w:line="360" w:lineRule="auto"/>
      </w:pPr>
      <w:r>
        <w:rPr>
          <w:rFonts w:ascii="黑体" w:hAnsi="黑体" w:eastAsia="黑体"/>
          <w:b/>
          <w:sz w:val="24"/>
        </w:rPr>
        <w:t>4.2 研究思路、核心概念与研究问题</w:t>
      </w:r>
    </w:p>
    <w:p>
      <w:pPr>
        <w:spacing w:line="360" w:lineRule="auto" w:after="0" w:before="0"/>
        <w:ind w:firstLine="480"/>
      </w:pPr>
      <w:r>
        <w:rPr>
          <w:rFonts w:ascii="宋体" w:hAnsi="宋体" w:eastAsia="宋体"/>
          <w:b w:val="0"/>
          <w:sz w:val="24"/>
        </w:rPr>
        <w:t>本研究的总体思路是：从AIGC品牌视频广告的行业现象出发，构建样本库，建立编码表，对样本进行多模态量化编码，并在统计结果基础上结合典型案例进行补充解释，最终归纳其品牌形象建构策略并提出优化建议。其逻辑链条为：“样本库构建—编码维度确定—预编码与正式编码—统计分析—典型案例解释—策略归纳与问题诊断”。</w:t>
      </w:r>
    </w:p>
    <w:p>
      <w:pPr>
        <w:spacing w:line="360" w:lineRule="auto" w:after="0" w:before="0"/>
        <w:ind w:firstLine="480"/>
      </w:pPr>
      <w:r>
        <w:rPr>
          <w:rFonts w:ascii="宋体" w:hAnsi="宋体" w:eastAsia="宋体"/>
          <w:b w:val="0"/>
          <w:sz w:val="24"/>
        </w:rPr>
        <w:t>在核心概念上，本文作如下工作性界定：其一，AIGC品牌视频广告，指在脚本生成、画面生成、角色塑造、配音配乐或整体合成等关键环节中明确使用生成式人工智能，并以品牌传播为目标的公开视频广告。其二，品牌形象建构策略，指广告通过多种模态资源的选择、组合和协同来呈现品牌功能、情感、符号和价值意义的相对稳定方式。其三，多模态资源，主要包括语言文字、画面构图、色彩风格、角色形象、音乐音效、配音语调、镜头运动与剪辑节奏等。</w:t>
      </w:r>
    </w:p>
    <w:p>
      <w:pPr>
        <w:spacing w:line="360" w:lineRule="auto" w:after="0" w:before="0"/>
        <w:ind w:firstLine="480"/>
      </w:pPr>
      <w:r>
        <w:rPr>
          <w:rFonts w:ascii="宋体" w:hAnsi="宋体" w:eastAsia="宋体"/>
          <w:b w:val="0"/>
          <w:sz w:val="24"/>
        </w:rPr>
        <w:t>在分析框架上，本文将借鉴多模态研究中常见的分层分析路径，把AIGC品牌视频广告的量化研究框架划分为语境层、表达层、品牌形象意义层和模态关系层。语境层用于识别广告的传播场景和诉求导向；表达层用于编码语言、视觉和听觉资源的使用特征；品牌形象意义层用于判断广告主要建构的品牌形象维度；模态关系层用于考察不同模态之间的互补、强化和协调方式。</w:t>
      </w:r>
    </w:p>
    <w:p>
      <w:pPr>
        <w:spacing w:line="360" w:lineRule="auto" w:after="0" w:before="0"/>
        <w:ind w:firstLine="480"/>
      </w:pPr>
      <w:r>
        <w:rPr>
          <w:rFonts w:ascii="宋体" w:hAnsi="宋体" w:eastAsia="宋体"/>
          <w:b w:val="0"/>
          <w:sz w:val="24"/>
        </w:rPr>
        <w:t>围绕上述界定，本文拟提出以下研究问题：</w:t>
      </w:r>
    </w:p>
    <w:p>
      <w:pPr>
        <w:spacing w:line="360" w:lineRule="auto" w:after="0" w:before="0"/>
        <w:ind w:firstLine="480"/>
      </w:pPr>
      <w:r>
        <w:rPr>
          <w:rFonts w:ascii="宋体" w:hAnsi="宋体" w:eastAsia="宋体"/>
          <w:b w:val="0"/>
          <w:sz w:val="24"/>
        </w:rPr>
        <w:t>RQ1：AIGC品牌视频广告在语境层、表达层、品牌形象意义层和模态关系层分别呈现出怎样的量化分布特征？</w:t>
      </w:r>
    </w:p>
    <w:p>
      <w:pPr>
        <w:spacing w:line="360" w:lineRule="auto" w:after="0" w:before="0"/>
        <w:ind w:firstLine="480"/>
      </w:pPr>
      <w:r>
        <w:rPr>
          <w:rFonts w:ascii="宋体" w:hAnsi="宋体" w:eastAsia="宋体"/>
          <w:b w:val="0"/>
          <w:sz w:val="24"/>
        </w:rPr>
        <w:t>RQ2：语言、视觉、听觉资源及其协同关系在样本中形成了哪些相对稳定的品牌形象建构模式？</w:t>
      </w:r>
    </w:p>
    <w:p>
      <w:pPr>
        <w:spacing w:line="360" w:lineRule="auto" w:after="0" w:before="0"/>
        <w:ind w:firstLine="480"/>
      </w:pPr>
      <w:r>
        <w:rPr>
          <w:rFonts w:ascii="宋体" w:hAnsi="宋体" w:eastAsia="宋体"/>
          <w:b w:val="0"/>
          <w:sz w:val="24"/>
        </w:rPr>
        <w:t>RQ3：当前AIGC品牌视频广告在品牌形象建构中存在哪些常见问题，其优化方向是什么？</w:t>
      </w:r>
    </w:p>
    <w:p>
      <w:pPr>
        <w:pStyle w:val="Heading2"/>
        <w:spacing w:before="120" w:after="60" w:line="360" w:lineRule="auto"/>
      </w:pPr>
      <w:r>
        <w:rPr>
          <w:rFonts w:ascii="黑体" w:hAnsi="黑体" w:eastAsia="黑体"/>
          <w:b/>
          <w:sz w:val="24"/>
        </w:rPr>
        <w:t>4.3 研究对象与样本设计</w:t>
      </w:r>
    </w:p>
    <w:p>
      <w:pPr>
        <w:spacing w:line="360" w:lineRule="auto" w:after="0" w:before="0"/>
        <w:ind w:firstLine="480"/>
      </w:pPr>
      <w:r>
        <w:rPr>
          <w:rFonts w:ascii="宋体" w:hAnsi="宋体" w:eastAsia="宋体"/>
          <w:b w:val="0"/>
          <w:sz w:val="24"/>
        </w:rPr>
        <w:t>本研究的对象明确限定为AIGC品牌视频广告这一单一对象，不再设置“人工广告”与“AIGC广告”的双组比较。这样处理有助于避免研究对象漂移，也更符合本课题的题目与研究目标。</w:t>
      </w:r>
    </w:p>
    <w:p>
      <w:pPr>
        <w:spacing w:line="360" w:lineRule="auto" w:after="0" w:before="0"/>
        <w:ind w:firstLine="480"/>
      </w:pPr>
      <w:r>
        <w:rPr>
          <w:rFonts w:ascii="宋体" w:hAnsi="宋体" w:eastAsia="宋体"/>
          <w:b w:val="0"/>
          <w:sz w:val="24"/>
        </w:rPr>
        <w:t>在总体界定上，本研究所指的总体是2024年1月1日至2026年6月1日期间公开发布、且AIGC参与创作环节可被核验的品牌视频广告。样本采用目的性抽样与热度筛选相结合的方式，从品牌官方发布渠道、主流AIGC平台公开案例库以及权威行业报道中建立候选池，最终拟选取60条AIGC品牌视频广告作为正式研究样本。之所以采用这一规模，是因为其既能满足量化编码和统计归纳的需要，也较符合硕士阶段研究的时间与工作量要求。</w:t>
      </w:r>
    </w:p>
    <w:p>
      <w:pPr>
        <w:spacing w:line="360" w:lineRule="auto" w:after="0" w:before="0"/>
        <w:ind w:firstLine="480"/>
      </w:pPr>
      <w:r>
        <w:rPr>
          <w:rFonts w:ascii="宋体" w:hAnsi="宋体" w:eastAsia="宋体"/>
          <w:b w:val="0"/>
          <w:sz w:val="24"/>
        </w:rPr>
        <w:t>样本纳入标准主要包括：第一，作品必须具有明确的品牌传播属性，而非单纯的AI短片、工具演示或个人练习作品；第二，AIGC参与创作的关键环节可以通过品牌说明、创作者披露、平台案例说明或权威报道获得核验；第三，视频文本完整，可反复观看并适合进行镜头切分、字幕转录和多模态编码；第四，样本尽可能覆盖不同品牌品类、传播平台和表达风格，以增强分析的解释力。样本排除标准主要包括：无法核验AIGC介入方式的作品、非商业属性视频、素材残缺或无法完整获取的视频。</w:t>
      </w:r>
    </w:p>
    <w:p>
      <w:pPr>
        <w:spacing w:line="360" w:lineRule="auto" w:after="0" w:before="0"/>
        <w:ind w:firstLine="480"/>
      </w:pPr>
      <w:r>
        <w:rPr>
          <w:rFonts w:ascii="宋体" w:hAnsi="宋体" w:eastAsia="宋体"/>
          <w:b w:val="0"/>
          <w:sz w:val="24"/>
        </w:rPr>
        <w:t>在研究单位与编码单位上，本文作如下区分：以“单支广告视频”为样本单位和最终统计单位，即每一条广告进入样本库后最终形成一行视频层编码数据；以“镜头/场景片段”及其对应的字幕、配音、音乐与音效片段为编码参照单位，用于提取表达层和模态关系层的信息。具体操作上，先对每支视频进行镜头切分与分层标注，再将片段层观察结果依据统一规则汇总为视频层变量值，进而形成可用于跨样本统计分析的数据表。因此，本文并不按单支广告逐案展开表达层论述，而是按照语言模态、视觉模态、听觉模态及模态关系等统一维度，对全部样本进行比较分析。需要说明的是，本研究属于非概率抽样研究，其统计结果主要用于描述样本特征和归纳表达模式，而不作总体推断意义上的因果或普遍化结论。</w:t>
      </w:r>
    </w:p>
    <w:p>
      <w:pPr>
        <w:pStyle w:val="Heading2"/>
        <w:spacing w:before="120" w:after="60" w:line="360" w:lineRule="auto"/>
      </w:pPr>
      <w:r>
        <w:rPr>
          <w:rFonts w:ascii="黑体" w:hAnsi="黑体" w:eastAsia="黑体"/>
          <w:b/>
          <w:sz w:val="24"/>
        </w:rPr>
        <w:t>4.4 研究方法</w:t>
      </w:r>
    </w:p>
    <w:p>
      <w:pPr>
        <w:spacing w:line="360" w:lineRule="auto" w:after="0" w:before="0"/>
        <w:ind w:firstLine="480"/>
      </w:pPr>
      <w:r>
        <w:rPr>
          <w:rFonts w:ascii="宋体" w:hAnsi="宋体" w:eastAsia="宋体"/>
          <w:b w:val="0"/>
          <w:sz w:val="24"/>
        </w:rPr>
        <w:t>本研究主要采用以下方法。</w:t>
      </w:r>
    </w:p>
    <w:p>
      <w:pPr>
        <w:spacing w:line="360" w:lineRule="auto" w:after="0" w:before="0"/>
        <w:ind w:firstLine="480"/>
      </w:pPr>
      <w:r>
        <w:rPr>
          <w:rFonts w:ascii="宋体" w:hAnsi="宋体" w:eastAsia="宋体"/>
          <w:b w:val="0"/>
          <w:sz w:val="24"/>
        </w:rPr>
        <w:t>第一，文献分析法。用于梳理AIGC广告研究、品牌形象研究与多模态话语分析的已有成果，明确研究缺口并搭建理论框架。</w:t>
      </w:r>
    </w:p>
    <w:p>
      <w:pPr>
        <w:spacing w:line="360" w:lineRule="auto" w:after="0" w:before="0"/>
        <w:ind w:firstLine="480"/>
      </w:pPr>
      <w:r>
        <w:rPr>
          <w:rFonts w:ascii="宋体" w:hAnsi="宋体" w:eastAsia="宋体"/>
          <w:b w:val="0"/>
          <w:sz w:val="24"/>
        </w:rPr>
        <w:t>第二，内容分析法。以AIGC品牌视频广告为研究文本，对其多模态资源进行系统编码和分类，通过量化方式考察广告文本中的稳定特征。由于本研究关注的是品牌形象如何被呈现，内容分析法能够较好实现从文本观察到统计归纳的转换。这里的重点不是逐条广告分别撰写表达分析，而是在统一编码框架下对全体样本的模态特征进行跨案例比较。</w:t>
      </w:r>
    </w:p>
    <w:p>
      <w:pPr>
        <w:spacing w:line="360" w:lineRule="auto" w:after="0" w:before="0"/>
        <w:ind w:firstLine="480"/>
      </w:pPr>
      <w:r>
        <w:rPr>
          <w:rFonts w:ascii="宋体" w:hAnsi="宋体" w:eastAsia="宋体"/>
          <w:b w:val="0"/>
          <w:sz w:val="24"/>
        </w:rPr>
        <w:t>第三，多模态语料辅助编码法。研究拟借助视频标注工具对样本进行转录、切分和分层标注，将字幕、画面、声音和镜头等信息整理为可统计的编码材料。该方法吸收多模态硕士论文中“语料库辅助分析”的设计思路，但本研究以品牌广告为对象，重点服务于编码和统计，而非纯语料库语言学研究。也就是说，片段层标注主要承担“提取变量”的功能，正式进入统计分析时仍以汇总后的视频层变量为准。</w:t>
      </w:r>
    </w:p>
    <w:p>
      <w:pPr>
        <w:spacing w:line="360" w:lineRule="auto" w:after="0" w:before="0"/>
        <w:ind w:firstLine="480"/>
      </w:pPr>
      <w:r>
        <w:rPr>
          <w:rFonts w:ascii="宋体" w:hAnsi="宋体" w:eastAsia="宋体"/>
          <w:b w:val="0"/>
          <w:sz w:val="24"/>
        </w:rPr>
        <w:t>第四，描述性统计与交叉分析法。对正式样本的编码结果进行频数统计、占比分析和交叉比较，呈现AIGC品牌视频广告在模态使用和品牌形象建构方面的分布规律，并据此初步归纳不同的策略类型。</w:t>
      </w:r>
    </w:p>
    <w:p>
      <w:pPr>
        <w:spacing w:line="360" w:lineRule="auto" w:after="0" w:before="0"/>
        <w:ind w:firstLine="480"/>
      </w:pPr>
      <w:r>
        <w:rPr>
          <w:rFonts w:ascii="宋体" w:hAnsi="宋体" w:eastAsia="宋体"/>
          <w:b w:val="0"/>
          <w:sz w:val="24"/>
        </w:rPr>
        <w:t>第五，典型案例补充分析法。在量化结果基础上，选取具有代表性的个案对统计结果进行解释，避免仅有数字而缺乏文本意义分析。这样可以形成“量化编码为主、定性解释为辅”的研究路径。</w:t>
      </w:r>
    </w:p>
    <w:p>
      <w:pPr>
        <w:pStyle w:val="Heading2"/>
        <w:spacing w:before="120" w:after="60" w:line="360" w:lineRule="auto"/>
      </w:pPr>
      <w:r>
        <w:rPr>
          <w:rFonts w:ascii="黑体" w:hAnsi="黑体" w:eastAsia="黑体"/>
          <w:b/>
          <w:sz w:val="24"/>
        </w:rPr>
        <w:t>4.5 分析维度与操作化思路</w:t>
      </w:r>
    </w:p>
    <w:p>
      <w:pPr>
        <w:spacing w:line="360" w:lineRule="auto" w:after="0" w:before="0"/>
        <w:ind w:firstLine="480"/>
      </w:pPr>
      <w:r>
        <w:rPr>
          <w:rFonts w:ascii="宋体" w:hAnsi="宋体" w:eastAsia="宋体"/>
          <w:b w:val="0"/>
          <w:sz w:val="24"/>
        </w:rPr>
        <w:t>本研究拟借鉴量化编码研究的思路，围绕五个层级建立编码表，并将变量尽可能转化为可统计的类别指标、顺序指标和少量比例指标。需要特别说明的是，本文虽然以单支广告作为样本单位，但表达层并不采用“逐案拆开写”的分析方式，而是先借助片段层标注提取变量，再把结果汇总为视频层数据，最后按统一模态维度对全部样本展开统计比较。</w:t>
      </w:r>
    </w:p>
    <w:p>
      <w:pPr>
        <w:spacing w:line="360" w:lineRule="auto" w:after="0" w:before="0"/>
        <w:ind w:firstLine="480"/>
      </w:pPr>
      <w:r>
        <w:rPr>
          <w:rFonts w:ascii="宋体" w:hAnsi="宋体" w:eastAsia="宋体"/>
          <w:b w:val="0"/>
          <w:sz w:val="24"/>
        </w:rPr>
        <w:t>第一，基础信息变量。主要包括发布时间、传播平台、品牌品类、视频时长、AIGC披露方式等，用于描述样本基本构成并控制样本边界。</w:t>
      </w:r>
    </w:p>
    <w:p>
      <w:pPr>
        <w:spacing w:line="360" w:lineRule="auto" w:after="0" w:before="0"/>
        <w:ind w:firstLine="480"/>
      </w:pPr>
      <w:r>
        <w:rPr>
          <w:rFonts w:ascii="宋体" w:hAnsi="宋体" w:eastAsia="宋体"/>
          <w:b w:val="0"/>
          <w:sz w:val="24"/>
        </w:rPr>
        <w:t>第二，语境层变量。主要包括广告目标类型、诉求导向、传播场景和品牌传播重心等。广告目标类型可分为品牌形象传播、产品推广、节日营销和事件传播；诉求导向可分为功能诉求、情感诉求、符号诉求、价值诉求和复合诉求；传播场景可分为信息流传播、官方发布、社交扩散等类别。该层变量主要用于回答样本处于何种传播语境。</w:t>
      </w:r>
    </w:p>
    <w:p>
      <w:pPr>
        <w:spacing w:line="360" w:lineRule="auto" w:after="0" w:before="0"/>
        <w:ind w:firstLine="480"/>
      </w:pPr>
      <w:r>
        <w:rPr>
          <w:rFonts w:ascii="宋体" w:hAnsi="宋体" w:eastAsia="宋体"/>
          <w:b w:val="0"/>
          <w:sz w:val="24"/>
        </w:rPr>
        <w:t>第三，表达层变量。该层是本研究的核心编码部分，分为语言模态、视觉模态和听觉模态三类。语言模态主要编码品牌名称是否显性出现、品牌口号是否出现、字幕密度、叙事文本类型和情感措辞倾向；视觉模态主要编码主导场景类型、主体形象类型、色彩基调、镜头节奏、品牌标识露出方式、产品露出强度和AIGC奇观化程度；听觉模态主要编码人声类型、音乐风格、音效使用强度和声音节奏特征。该层用于呈现AIGC品牌视频广告具体“如何表达”，但其分析呈现方式是按模态维度对全部样本进行统一统计，而不是逐支广告分别展开描述。</w:t>
      </w:r>
    </w:p>
    <w:p>
      <w:pPr>
        <w:spacing w:line="360" w:lineRule="auto" w:after="0" w:before="0"/>
        <w:ind w:firstLine="480"/>
      </w:pPr>
      <w:r>
        <w:rPr>
          <w:rFonts w:ascii="宋体" w:hAnsi="宋体" w:eastAsia="宋体"/>
          <w:b w:val="0"/>
          <w:sz w:val="24"/>
        </w:rPr>
        <w:t>第四，品牌形象意义层变量。参考品牌形象研究成果，将广告主要建构的品牌形象划分为功能形象、情感形象、符号形象和价值形象四类，并记录各类形象在单支广告中的突出程度。编码时可采用“未突出、一般突出、显著突出”的顺序尺度，以便后续统计其分布情况。</w:t>
      </w:r>
    </w:p>
    <w:p>
      <w:pPr>
        <w:spacing w:line="360" w:lineRule="auto" w:after="0" w:before="0"/>
        <w:ind w:firstLine="480"/>
      </w:pPr>
      <w:r>
        <w:rPr>
          <w:rFonts w:ascii="宋体" w:hAnsi="宋体" w:eastAsia="宋体"/>
          <w:b w:val="0"/>
          <w:sz w:val="24"/>
        </w:rPr>
        <w:t>第五，模态关系层变量。重点编码语言与视觉、视觉与听觉、语言与听觉之间的关系类型，可初步划分为强化关系、互补关系、协调关系和弱关联关系；同时增加“整体模态协调度”这一顺序变量，用于判断广告整体表达是否连贯。该层主要用于识别不同模态如何共同完成品牌形象建构。</w:t>
      </w:r>
    </w:p>
    <w:p>
      <w:pPr>
        <w:spacing w:line="360" w:lineRule="auto" w:after="0" w:before="0"/>
        <w:ind w:firstLine="480"/>
      </w:pPr>
      <w:r>
        <w:rPr>
          <w:rFonts w:ascii="宋体" w:hAnsi="宋体" w:eastAsia="宋体"/>
          <w:b w:val="0"/>
          <w:sz w:val="24"/>
        </w:rPr>
        <w:t>在测量尺度上，本研究主要采用名义尺度和顺序尺度，少量涉及时长占比、品牌首次出现时间占比等指标时采用比例值记录。通过这一设计，既能保证编码的可操作性，又能与后续描述性统计和交叉分析相匹配。</w:t>
      </w:r>
    </w:p>
    <w:p>
      <w:pPr>
        <w:spacing w:line="360" w:lineRule="auto" w:after="0" w:before="0"/>
        <w:ind w:firstLine="480"/>
      </w:pPr>
      <w:r>
        <w:rPr>
          <w:rFonts w:ascii="宋体" w:hAnsi="宋体" w:eastAsia="宋体"/>
          <w:b w:val="0"/>
          <w:sz w:val="24"/>
        </w:rPr>
        <w:t>为使正式编码更接近多模态研究硕士论文中常见的内容分析写法，本文进一步形成统一编码表，并在正式录入时为每一变量设置对应的变量名、赋值说明和测量尺度，见表4-1。</w:t>
      </w:r>
    </w:p>
    <w:p>
      <w:pPr>
        <w:spacing w:line="360" w:lineRule="auto" w:after="0" w:before="0"/>
        <w:ind w:firstLine="480"/>
      </w:pPr>
      <w:r>
        <w:rPr>
          <w:rFonts w:ascii="宋体" w:hAnsi="宋体" w:eastAsia="宋体"/>
          <w:b w:val="0"/>
          <w:sz w:val="24"/>
        </w:rPr>
        <w:t>表4-1 AIGC品牌视频广告多模态编码变量与赋值说明</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360" w:lineRule="auto" w:after="0" w:before="0"/>
              <w:ind w:firstLine="0"/>
              <w:jc w:val="center"/>
            </w:pPr>
            <w:r/>
            <w:r>
              <w:rPr>
                <w:rFonts w:ascii="黑体" w:hAnsi="黑体" w:eastAsia="黑体"/>
                <w:b/>
                <w:sz w:val="21"/>
              </w:rPr>
              <w:t>编码层级</w:t>
            </w:r>
          </w:p>
        </w:tc>
        <w:tc>
          <w:tcPr>
            <w:tcW w:type="dxa" w:w="1728"/>
          </w:tcPr>
          <w:p>
            <w:pPr>
              <w:spacing w:line="360" w:lineRule="auto" w:after="0" w:before="0"/>
              <w:ind w:firstLine="0"/>
              <w:jc w:val="center"/>
            </w:pPr>
            <w:r/>
            <w:r>
              <w:rPr>
                <w:rFonts w:ascii="黑体" w:hAnsi="黑体" w:eastAsia="黑体"/>
                <w:b/>
                <w:sz w:val="21"/>
              </w:rPr>
              <w:t>变量名称</w:t>
            </w:r>
          </w:p>
        </w:tc>
        <w:tc>
          <w:tcPr>
            <w:tcW w:type="dxa" w:w="1728"/>
          </w:tcPr>
          <w:p>
            <w:pPr>
              <w:spacing w:line="360" w:lineRule="auto" w:after="0" w:before="0"/>
              <w:ind w:firstLine="0"/>
              <w:jc w:val="center"/>
            </w:pPr>
            <w:r/>
            <w:r>
              <w:rPr>
                <w:rFonts w:ascii="黑体" w:hAnsi="黑体" w:eastAsia="黑体"/>
                <w:b/>
                <w:sz w:val="21"/>
              </w:rPr>
              <w:t>指标说明</w:t>
            </w:r>
          </w:p>
        </w:tc>
        <w:tc>
          <w:tcPr>
            <w:tcW w:type="dxa" w:w="1728"/>
          </w:tcPr>
          <w:p>
            <w:pPr>
              <w:spacing w:line="360" w:lineRule="auto" w:after="0" w:before="0"/>
              <w:ind w:firstLine="0"/>
              <w:jc w:val="center"/>
            </w:pPr>
            <w:r/>
            <w:r>
              <w:rPr>
                <w:rFonts w:ascii="黑体" w:hAnsi="黑体" w:eastAsia="黑体"/>
                <w:b/>
                <w:sz w:val="21"/>
              </w:rPr>
              <w:t>赋值方式</w:t>
            </w:r>
          </w:p>
        </w:tc>
        <w:tc>
          <w:tcPr>
            <w:tcW w:type="dxa" w:w="1728"/>
          </w:tcPr>
          <w:p>
            <w:pPr>
              <w:spacing w:line="360" w:lineRule="auto" w:after="0" w:before="0"/>
              <w:ind w:firstLine="0"/>
              <w:jc w:val="center"/>
            </w:pPr>
            <w:r/>
            <w:r>
              <w:rPr>
                <w:rFonts w:ascii="黑体" w:hAnsi="黑体" w:eastAsia="黑体"/>
                <w:b/>
                <w:sz w:val="21"/>
              </w:rPr>
              <w:t>测量尺度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V1 发布时间</w:t>
            </w:r>
          </w:p>
        </w:tc>
        <w:tc>
          <w:tcPr>
            <w:tcW w:type="dxa" w:w="1728"/>
          </w:tcPr>
          <w:p>
            <w:pPr>
              <w:spacing w:line="360" w:lineRule="auto" w:after="0" w:before="0"/>
              <w:ind w:firstLine="0"/>
              <w:jc w:val="left"/>
            </w:pPr>
            <w:r/>
            <w:r>
              <w:rPr>
                <w:rFonts w:ascii="宋体" w:hAnsi="宋体" w:eastAsia="宋体"/>
                <w:b w:val="0"/>
                <w:sz w:val="21"/>
              </w:rPr>
              <w:t>记录视频首次公开发布时间</w:t>
            </w:r>
          </w:p>
        </w:tc>
        <w:tc>
          <w:tcPr>
            <w:tcW w:type="dxa" w:w="1728"/>
          </w:tcPr>
          <w:p>
            <w:pPr>
              <w:spacing w:line="360" w:lineRule="auto" w:after="0" w:before="0"/>
              <w:ind w:firstLine="0"/>
              <w:jc w:val="left"/>
            </w:pPr>
            <w:r/>
            <w:r>
              <w:rPr>
                <w:rFonts w:ascii="宋体" w:hAnsi="宋体" w:eastAsia="宋体"/>
                <w:b w:val="0"/>
                <w:sz w:val="21"/>
              </w:rPr>
              <w:t>按“年-月-日”录入</w:t>
            </w:r>
          </w:p>
        </w:tc>
        <w:tc>
          <w:tcPr>
            <w:tcW w:type="dxa" w:w="1728"/>
          </w:tcPr>
          <w:p>
            <w:pPr>
              <w:spacing w:line="360" w:lineRule="auto" w:after="0" w:before="0"/>
              <w:ind w:firstLine="0"/>
              <w:jc w:val="left"/>
            </w:pPr>
            <w:r/>
            <w:r>
              <w:rPr>
                <w:rFonts w:ascii="宋体" w:hAnsi="宋体" w:eastAsia="宋体"/>
                <w:b w:val="0"/>
                <w:sz w:val="21"/>
              </w:rPr>
              <w:t>比例尺度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V2 传播平台</w:t>
            </w:r>
          </w:p>
        </w:tc>
        <w:tc>
          <w:tcPr>
            <w:tcW w:type="dxa" w:w="1728"/>
          </w:tcPr>
          <w:p>
            <w:pPr>
              <w:spacing w:line="360" w:lineRule="auto" w:after="0" w:before="0"/>
              <w:ind w:firstLine="0"/>
              <w:jc w:val="left"/>
            </w:pPr>
            <w:r/>
            <w:r>
              <w:rPr>
                <w:rFonts w:ascii="宋体" w:hAnsi="宋体" w:eastAsia="宋体"/>
                <w:b w:val="0"/>
                <w:sz w:val="21"/>
              </w:rPr>
              <w:t>识别样本发布或主要传播平台</w:t>
            </w:r>
          </w:p>
        </w:tc>
        <w:tc>
          <w:tcPr>
            <w:tcW w:type="dxa" w:w="1728"/>
          </w:tcPr>
          <w:p>
            <w:pPr>
              <w:spacing w:line="360" w:lineRule="auto" w:after="0" w:before="0"/>
              <w:ind w:firstLine="0"/>
              <w:jc w:val="left"/>
            </w:pPr>
            <w:r/>
            <w:r>
              <w:rPr>
                <w:rFonts w:ascii="宋体" w:hAnsi="宋体" w:eastAsia="宋体"/>
                <w:b w:val="0"/>
                <w:sz w:val="21"/>
              </w:rPr>
              <w:t>抖音/快手/B站/视频号/微博/小红书/品牌官网或电商平台/其他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V3 品牌品类</w:t>
            </w:r>
          </w:p>
        </w:tc>
        <w:tc>
          <w:tcPr>
            <w:tcW w:type="dxa" w:w="1728"/>
          </w:tcPr>
          <w:p>
            <w:pPr>
              <w:spacing w:line="360" w:lineRule="auto" w:after="0" w:before="0"/>
              <w:ind w:firstLine="0"/>
              <w:jc w:val="left"/>
            </w:pPr>
            <w:r/>
            <w:r>
              <w:rPr>
                <w:rFonts w:ascii="宋体" w:hAnsi="宋体" w:eastAsia="宋体"/>
                <w:b w:val="0"/>
                <w:sz w:val="21"/>
              </w:rPr>
              <w:t>识别广告所属行业类别</w:t>
            </w:r>
          </w:p>
        </w:tc>
        <w:tc>
          <w:tcPr>
            <w:tcW w:type="dxa" w:w="1728"/>
          </w:tcPr>
          <w:p>
            <w:pPr>
              <w:spacing w:line="360" w:lineRule="auto" w:after="0" w:before="0"/>
              <w:ind w:firstLine="0"/>
              <w:jc w:val="left"/>
            </w:pPr>
            <w:r/>
            <w:r>
              <w:rPr>
                <w:rFonts w:ascii="宋体" w:hAnsi="宋体" w:eastAsia="宋体"/>
                <w:b w:val="0"/>
                <w:sz w:val="21"/>
              </w:rPr>
              <w:t>美妆个护/食品饮料/汽车/3C数码/文旅文创/互联网服务/家居家电/其他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V4 视频时长</w:t>
            </w:r>
          </w:p>
        </w:tc>
        <w:tc>
          <w:tcPr>
            <w:tcW w:type="dxa" w:w="1728"/>
          </w:tcPr>
          <w:p>
            <w:pPr>
              <w:spacing w:line="360" w:lineRule="auto" w:after="0" w:before="0"/>
              <w:ind w:firstLine="0"/>
              <w:jc w:val="left"/>
            </w:pPr>
            <w:r/>
            <w:r>
              <w:rPr>
                <w:rFonts w:ascii="宋体" w:hAnsi="宋体" w:eastAsia="宋体"/>
                <w:b w:val="0"/>
                <w:sz w:val="21"/>
              </w:rPr>
              <w:t>统计单支广告总时长</w:t>
            </w:r>
          </w:p>
        </w:tc>
        <w:tc>
          <w:tcPr>
            <w:tcW w:type="dxa" w:w="1728"/>
          </w:tcPr>
          <w:p>
            <w:pPr>
              <w:spacing w:line="360" w:lineRule="auto" w:after="0" w:before="0"/>
              <w:ind w:firstLine="0"/>
              <w:jc w:val="left"/>
            </w:pPr>
            <w:r/>
            <w:r>
              <w:rPr>
                <w:rFonts w:ascii="宋体" w:hAnsi="宋体" w:eastAsia="宋体"/>
                <w:b w:val="0"/>
                <w:sz w:val="21"/>
              </w:rPr>
              <w:t>按秒录入</w:t>
            </w:r>
          </w:p>
        </w:tc>
        <w:tc>
          <w:tcPr>
            <w:tcW w:type="dxa" w:w="1728"/>
          </w:tcPr>
          <w:p>
            <w:pPr>
              <w:spacing w:line="360" w:lineRule="auto" w:after="0" w:before="0"/>
              <w:ind w:firstLine="0"/>
              <w:jc w:val="left"/>
            </w:pPr>
            <w:r/>
            <w:r>
              <w:rPr>
                <w:rFonts w:ascii="宋体" w:hAnsi="宋体" w:eastAsia="宋体"/>
                <w:b w:val="0"/>
                <w:sz w:val="21"/>
              </w:rPr>
              <w:t>比例尺度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V5 AIGC披露方式</w:t>
            </w:r>
          </w:p>
        </w:tc>
        <w:tc>
          <w:tcPr>
            <w:tcW w:type="dxa" w:w="1728"/>
          </w:tcPr>
          <w:p>
            <w:pPr>
              <w:spacing w:line="360" w:lineRule="auto" w:after="0" w:before="0"/>
              <w:ind w:firstLine="0"/>
              <w:jc w:val="left"/>
            </w:pPr>
            <w:r/>
            <w:r>
              <w:rPr>
                <w:rFonts w:ascii="宋体" w:hAnsi="宋体" w:eastAsia="宋体"/>
                <w:b w:val="0"/>
                <w:sz w:val="21"/>
              </w:rPr>
              <w:t>记录样本中AIGC属性的可核验方式</w:t>
            </w:r>
          </w:p>
        </w:tc>
        <w:tc>
          <w:tcPr>
            <w:tcW w:type="dxa" w:w="1728"/>
          </w:tcPr>
          <w:p>
            <w:pPr>
              <w:spacing w:line="360" w:lineRule="auto" w:after="0" w:before="0"/>
              <w:ind w:firstLine="0"/>
              <w:jc w:val="left"/>
            </w:pPr>
            <w:r/>
            <w:r>
              <w:rPr>
                <w:rFonts w:ascii="宋体" w:hAnsi="宋体" w:eastAsia="宋体"/>
                <w:b w:val="0"/>
                <w:sz w:val="21"/>
              </w:rPr>
              <w:t>明示AIGC/品牌说明或媒体报道证实/无明确披露但可间接判断</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V6 广告目标类型</w:t>
            </w:r>
          </w:p>
        </w:tc>
        <w:tc>
          <w:tcPr>
            <w:tcW w:type="dxa" w:w="1728"/>
          </w:tcPr>
          <w:p>
            <w:pPr>
              <w:spacing w:line="360" w:lineRule="auto" w:after="0" w:before="0"/>
              <w:ind w:firstLine="0"/>
              <w:jc w:val="left"/>
            </w:pPr>
            <w:r/>
            <w:r>
              <w:rPr>
                <w:rFonts w:ascii="宋体" w:hAnsi="宋体" w:eastAsia="宋体"/>
                <w:b w:val="0"/>
                <w:sz w:val="21"/>
              </w:rPr>
              <w:t>判断广告传播的主要目标</w:t>
            </w:r>
          </w:p>
        </w:tc>
        <w:tc>
          <w:tcPr>
            <w:tcW w:type="dxa" w:w="1728"/>
          </w:tcPr>
          <w:p>
            <w:pPr>
              <w:spacing w:line="360" w:lineRule="auto" w:after="0" w:before="0"/>
              <w:ind w:firstLine="0"/>
              <w:jc w:val="left"/>
            </w:pPr>
            <w:r/>
            <w:r>
              <w:rPr>
                <w:rFonts w:ascii="宋体" w:hAnsi="宋体" w:eastAsia="宋体"/>
                <w:b w:val="0"/>
                <w:sz w:val="21"/>
              </w:rPr>
              <w:t>品牌形象传播/产品推广/节日营销/事件传播/综合目标</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V7 诉求导向</w:t>
            </w:r>
          </w:p>
        </w:tc>
        <w:tc>
          <w:tcPr>
            <w:tcW w:type="dxa" w:w="1728"/>
          </w:tcPr>
          <w:p>
            <w:pPr>
              <w:spacing w:line="360" w:lineRule="auto" w:after="0" w:before="0"/>
              <w:ind w:firstLine="0"/>
              <w:jc w:val="left"/>
            </w:pPr>
            <w:r/>
            <w:r>
              <w:rPr>
                <w:rFonts w:ascii="宋体" w:hAnsi="宋体" w:eastAsia="宋体"/>
                <w:b w:val="0"/>
                <w:sz w:val="21"/>
              </w:rPr>
              <w:t>判断广告核心说服路径</w:t>
            </w:r>
          </w:p>
        </w:tc>
        <w:tc>
          <w:tcPr>
            <w:tcW w:type="dxa" w:w="1728"/>
          </w:tcPr>
          <w:p>
            <w:pPr>
              <w:spacing w:line="360" w:lineRule="auto" w:after="0" w:before="0"/>
              <w:ind w:firstLine="0"/>
              <w:jc w:val="left"/>
            </w:pPr>
            <w:r/>
            <w:r>
              <w:rPr>
                <w:rFonts w:ascii="宋体" w:hAnsi="宋体" w:eastAsia="宋体"/>
                <w:b w:val="0"/>
                <w:sz w:val="21"/>
              </w:rPr>
              <w:t>功能诉求/情感诉求/符号诉求/价值诉求/复合诉求</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V8 传播场景</w:t>
            </w:r>
          </w:p>
        </w:tc>
        <w:tc>
          <w:tcPr>
            <w:tcW w:type="dxa" w:w="1728"/>
          </w:tcPr>
          <w:p>
            <w:pPr>
              <w:spacing w:line="360" w:lineRule="auto" w:after="0" w:before="0"/>
              <w:ind w:firstLine="0"/>
              <w:jc w:val="left"/>
            </w:pPr>
            <w:r/>
            <w:r>
              <w:rPr>
                <w:rFonts w:ascii="宋体" w:hAnsi="宋体" w:eastAsia="宋体"/>
                <w:b w:val="0"/>
                <w:sz w:val="21"/>
              </w:rPr>
              <w:t>识别广告主要传播语境</w:t>
            </w:r>
          </w:p>
        </w:tc>
        <w:tc>
          <w:tcPr>
            <w:tcW w:type="dxa" w:w="1728"/>
          </w:tcPr>
          <w:p>
            <w:pPr>
              <w:spacing w:line="360" w:lineRule="auto" w:after="0" w:before="0"/>
              <w:ind w:firstLine="0"/>
              <w:jc w:val="left"/>
            </w:pPr>
            <w:r/>
            <w:r>
              <w:rPr>
                <w:rFonts w:ascii="宋体" w:hAnsi="宋体" w:eastAsia="宋体"/>
                <w:b w:val="0"/>
                <w:sz w:val="21"/>
              </w:rPr>
              <w:t>信息流传播/官方账号发布/电商促销/品牌活动节点/社交裂变/其他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V9 品牌传播重心</w:t>
            </w:r>
          </w:p>
        </w:tc>
        <w:tc>
          <w:tcPr>
            <w:tcW w:type="dxa" w:w="1728"/>
          </w:tcPr>
          <w:p>
            <w:pPr>
              <w:spacing w:line="360" w:lineRule="auto" w:after="0" w:before="0"/>
              <w:ind w:firstLine="0"/>
              <w:jc w:val="left"/>
            </w:pPr>
            <w:r/>
            <w:r>
              <w:rPr>
                <w:rFonts w:ascii="宋体" w:hAnsi="宋体" w:eastAsia="宋体"/>
                <w:b w:val="0"/>
                <w:sz w:val="21"/>
              </w:rPr>
              <w:t>判断广告集中建构的品牌重点</w:t>
            </w:r>
          </w:p>
        </w:tc>
        <w:tc>
          <w:tcPr>
            <w:tcW w:type="dxa" w:w="1728"/>
          </w:tcPr>
          <w:p>
            <w:pPr>
              <w:spacing w:line="360" w:lineRule="auto" w:after="0" w:before="0"/>
              <w:ind w:firstLine="0"/>
              <w:jc w:val="left"/>
            </w:pPr>
            <w:r/>
            <w:r>
              <w:rPr>
                <w:rFonts w:ascii="宋体" w:hAnsi="宋体" w:eastAsia="宋体"/>
                <w:b w:val="0"/>
                <w:sz w:val="21"/>
              </w:rPr>
              <w:t>品牌理念/产品卖点/生活方式/技术创新/社会责任/综合重心</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V10 品牌名称显性出现</w:t>
            </w:r>
          </w:p>
        </w:tc>
        <w:tc>
          <w:tcPr>
            <w:tcW w:type="dxa" w:w="1728"/>
          </w:tcPr>
          <w:p>
            <w:pPr>
              <w:spacing w:line="360" w:lineRule="auto" w:after="0" w:before="0"/>
              <w:ind w:firstLine="0"/>
              <w:jc w:val="left"/>
            </w:pPr>
            <w:r/>
            <w:r>
              <w:rPr>
                <w:rFonts w:ascii="宋体" w:hAnsi="宋体" w:eastAsia="宋体"/>
                <w:b w:val="0"/>
                <w:sz w:val="21"/>
              </w:rPr>
              <w:t>判断品牌名称是否以字幕、旁白或画面文字显性出现</w:t>
            </w:r>
          </w:p>
        </w:tc>
        <w:tc>
          <w:tcPr>
            <w:tcW w:type="dxa" w:w="1728"/>
          </w:tcPr>
          <w:p>
            <w:pPr>
              <w:spacing w:line="360" w:lineRule="auto" w:after="0" w:before="0"/>
              <w:ind w:firstLine="0"/>
              <w:jc w:val="left"/>
            </w:pPr>
            <w:r/>
            <w:r>
              <w:rPr>
                <w:rFonts w:ascii="宋体" w:hAnsi="宋体" w:eastAsia="宋体"/>
                <w:b w:val="0"/>
                <w:sz w:val="21"/>
              </w:rPr>
              <w:t>0=未出现，1=出现</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V11 品牌口号或核心文案出现</w:t>
            </w:r>
          </w:p>
        </w:tc>
        <w:tc>
          <w:tcPr>
            <w:tcW w:type="dxa" w:w="1728"/>
          </w:tcPr>
          <w:p>
            <w:pPr>
              <w:spacing w:line="360" w:lineRule="auto" w:after="0" w:before="0"/>
              <w:ind w:firstLine="0"/>
              <w:jc w:val="left"/>
            </w:pPr>
            <w:r/>
            <w:r>
              <w:rPr>
                <w:rFonts w:ascii="宋体" w:hAnsi="宋体" w:eastAsia="宋体"/>
                <w:b w:val="0"/>
                <w:sz w:val="21"/>
              </w:rPr>
              <w:t>判断是否出现稳定口号、主张或核心Slogan</w:t>
            </w:r>
          </w:p>
        </w:tc>
        <w:tc>
          <w:tcPr>
            <w:tcW w:type="dxa" w:w="1728"/>
          </w:tcPr>
          <w:p>
            <w:pPr>
              <w:spacing w:line="360" w:lineRule="auto" w:after="0" w:before="0"/>
              <w:ind w:firstLine="0"/>
              <w:jc w:val="left"/>
            </w:pPr>
            <w:r/>
            <w:r>
              <w:rPr>
                <w:rFonts w:ascii="宋体" w:hAnsi="宋体" w:eastAsia="宋体"/>
                <w:b w:val="0"/>
                <w:sz w:val="21"/>
              </w:rPr>
              <w:t>0=未出现，1=出现</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V12 字幕密度</w:t>
            </w:r>
          </w:p>
        </w:tc>
        <w:tc>
          <w:tcPr>
            <w:tcW w:type="dxa" w:w="1728"/>
          </w:tcPr>
          <w:p>
            <w:pPr>
              <w:spacing w:line="360" w:lineRule="auto" w:after="0" w:before="0"/>
              <w:ind w:firstLine="0"/>
              <w:jc w:val="left"/>
            </w:pPr>
            <w:r/>
            <w:r>
              <w:rPr>
                <w:rFonts w:ascii="宋体" w:hAnsi="宋体" w:eastAsia="宋体"/>
                <w:b w:val="0"/>
                <w:sz w:val="21"/>
              </w:rPr>
              <w:t>判断字幕在全片中的使用频率与覆盖程度</w:t>
            </w:r>
          </w:p>
        </w:tc>
        <w:tc>
          <w:tcPr>
            <w:tcW w:type="dxa" w:w="1728"/>
          </w:tcPr>
          <w:p>
            <w:pPr>
              <w:spacing w:line="360" w:lineRule="auto" w:after="0" w:before="0"/>
              <w:ind w:firstLine="0"/>
              <w:jc w:val="left"/>
            </w:pPr>
            <w:r/>
            <w:r>
              <w:rPr>
                <w:rFonts w:ascii="宋体" w:hAnsi="宋体" w:eastAsia="宋体"/>
                <w:b w:val="0"/>
                <w:sz w:val="21"/>
              </w:rPr>
              <w:t>1=低，2=中，3=高</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V13 叙事文本类型</w:t>
            </w:r>
          </w:p>
        </w:tc>
        <w:tc>
          <w:tcPr>
            <w:tcW w:type="dxa" w:w="1728"/>
          </w:tcPr>
          <w:p>
            <w:pPr>
              <w:spacing w:line="360" w:lineRule="auto" w:after="0" w:before="0"/>
              <w:ind w:firstLine="0"/>
              <w:jc w:val="left"/>
            </w:pPr>
            <w:r/>
            <w:r>
              <w:rPr>
                <w:rFonts w:ascii="宋体" w:hAnsi="宋体" w:eastAsia="宋体"/>
                <w:b w:val="0"/>
                <w:sz w:val="21"/>
              </w:rPr>
              <w:t>判断语言模态的主要组织方式</w:t>
            </w:r>
          </w:p>
        </w:tc>
        <w:tc>
          <w:tcPr>
            <w:tcW w:type="dxa" w:w="1728"/>
          </w:tcPr>
          <w:p>
            <w:pPr>
              <w:spacing w:line="360" w:lineRule="auto" w:after="0" w:before="0"/>
              <w:ind w:firstLine="0"/>
              <w:jc w:val="left"/>
            </w:pPr>
            <w:r/>
            <w:r>
              <w:rPr>
                <w:rFonts w:ascii="宋体" w:hAnsi="宋体" w:eastAsia="宋体"/>
                <w:b w:val="0"/>
                <w:sz w:val="21"/>
              </w:rPr>
              <w:t>说明型/故事型/对话型/宣言型/混合型</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V14 情感措辞倾向</w:t>
            </w:r>
          </w:p>
        </w:tc>
        <w:tc>
          <w:tcPr>
            <w:tcW w:type="dxa" w:w="1728"/>
          </w:tcPr>
          <w:p>
            <w:pPr>
              <w:spacing w:line="360" w:lineRule="auto" w:after="0" w:before="0"/>
              <w:ind w:firstLine="0"/>
              <w:jc w:val="left"/>
            </w:pPr>
            <w:r/>
            <w:r>
              <w:rPr>
                <w:rFonts w:ascii="宋体" w:hAnsi="宋体" w:eastAsia="宋体"/>
                <w:b w:val="0"/>
                <w:sz w:val="21"/>
              </w:rPr>
              <w:t>判断文案主要情感风格</w:t>
            </w:r>
          </w:p>
        </w:tc>
        <w:tc>
          <w:tcPr>
            <w:tcW w:type="dxa" w:w="1728"/>
          </w:tcPr>
          <w:p>
            <w:pPr>
              <w:spacing w:line="360" w:lineRule="auto" w:after="0" w:before="0"/>
              <w:ind w:firstLine="0"/>
              <w:jc w:val="left"/>
            </w:pPr>
            <w:r/>
            <w:r>
              <w:rPr>
                <w:rFonts w:ascii="宋体" w:hAnsi="宋体" w:eastAsia="宋体"/>
                <w:b w:val="0"/>
                <w:sz w:val="21"/>
              </w:rPr>
              <w:t>理性克制/温暖治愈/激励热血/幽默轻松/震撼奇观/混合</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V15 主导场景类型</w:t>
            </w:r>
          </w:p>
        </w:tc>
        <w:tc>
          <w:tcPr>
            <w:tcW w:type="dxa" w:w="1728"/>
          </w:tcPr>
          <w:p>
            <w:pPr>
              <w:spacing w:line="360" w:lineRule="auto" w:after="0" w:before="0"/>
              <w:ind w:firstLine="0"/>
              <w:jc w:val="left"/>
            </w:pPr>
            <w:r/>
            <w:r>
              <w:rPr>
                <w:rFonts w:ascii="宋体" w:hAnsi="宋体" w:eastAsia="宋体"/>
                <w:b w:val="0"/>
                <w:sz w:val="21"/>
              </w:rPr>
              <w:t>判断广告主要场景资源</w:t>
            </w:r>
          </w:p>
        </w:tc>
        <w:tc>
          <w:tcPr>
            <w:tcW w:type="dxa" w:w="1728"/>
          </w:tcPr>
          <w:p>
            <w:pPr>
              <w:spacing w:line="360" w:lineRule="auto" w:after="0" w:before="0"/>
              <w:ind w:firstLine="0"/>
              <w:jc w:val="left"/>
            </w:pPr>
            <w:r/>
            <w:r>
              <w:rPr>
                <w:rFonts w:ascii="宋体" w:hAnsi="宋体" w:eastAsia="宋体"/>
                <w:b w:val="0"/>
                <w:sz w:val="21"/>
              </w:rPr>
              <w:t>现实生活/产品展示/虚拟奇观/未来科技/混合场景</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V16 主体形象类型</w:t>
            </w:r>
          </w:p>
        </w:tc>
        <w:tc>
          <w:tcPr>
            <w:tcW w:type="dxa" w:w="1728"/>
          </w:tcPr>
          <w:p>
            <w:pPr>
              <w:spacing w:line="360" w:lineRule="auto" w:after="0" w:before="0"/>
              <w:ind w:firstLine="0"/>
              <w:jc w:val="left"/>
            </w:pPr>
            <w:r/>
            <w:r>
              <w:rPr>
                <w:rFonts w:ascii="宋体" w:hAnsi="宋体" w:eastAsia="宋体"/>
                <w:b w:val="0"/>
                <w:sz w:val="21"/>
              </w:rPr>
              <w:t>判断画面中承担叙事中心的主体</w:t>
            </w:r>
          </w:p>
        </w:tc>
        <w:tc>
          <w:tcPr>
            <w:tcW w:type="dxa" w:w="1728"/>
          </w:tcPr>
          <w:p>
            <w:pPr>
              <w:spacing w:line="360" w:lineRule="auto" w:after="0" w:before="0"/>
              <w:ind w:firstLine="0"/>
              <w:jc w:val="left"/>
            </w:pPr>
            <w:r/>
            <w:r>
              <w:rPr>
                <w:rFonts w:ascii="宋体" w:hAnsi="宋体" w:eastAsia="宋体"/>
                <w:b w:val="0"/>
                <w:sz w:val="21"/>
              </w:rPr>
              <w:t>真人人物/拟人化角色/产品主体/品牌符号/混合主体</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V17 色彩基调</w:t>
            </w:r>
          </w:p>
        </w:tc>
        <w:tc>
          <w:tcPr>
            <w:tcW w:type="dxa" w:w="1728"/>
          </w:tcPr>
          <w:p>
            <w:pPr>
              <w:spacing w:line="360" w:lineRule="auto" w:after="0" w:before="0"/>
              <w:ind w:firstLine="0"/>
              <w:jc w:val="left"/>
            </w:pPr>
            <w:r/>
            <w:r>
              <w:rPr>
                <w:rFonts w:ascii="宋体" w:hAnsi="宋体" w:eastAsia="宋体"/>
                <w:b w:val="0"/>
                <w:sz w:val="21"/>
              </w:rPr>
              <w:t>判断画面总体色彩倾向</w:t>
            </w:r>
          </w:p>
        </w:tc>
        <w:tc>
          <w:tcPr>
            <w:tcW w:type="dxa" w:w="1728"/>
          </w:tcPr>
          <w:p>
            <w:pPr>
              <w:spacing w:line="360" w:lineRule="auto" w:after="0" w:before="0"/>
              <w:ind w:firstLine="0"/>
              <w:jc w:val="left"/>
            </w:pPr>
            <w:r/>
            <w:r>
              <w:rPr>
                <w:rFonts w:ascii="宋体" w:hAnsi="宋体" w:eastAsia="宋体"/>
                <w:b w:val="0"/>
                <w:sz w:val="21"/>
              </w:rPr>
              <w:t>暖色主导/冷色主导/高饱和/低饱和/综合色调</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V18 镜头节奏</w:t>
            </w:r>
          </w:p>
        </w:tc>
        <w:tc>
          <w:tcPr>
            <w:tcW w:type="dxa" w:w="1728"/>
          </w:tcPr>
          <w:p>
            <w:pPr>
              <w:spacing w:line="360" w:lineRule="auto" w:after="0" w:before="0"/>
              <w:ind w:firstLine="0"/>
              <w:jc w:val="left"/>
            </w:pPr>
            <w:r/>
            <w:r>
              <w:rPr>
                <w:rFonts w:ascii="宋体" w:hAnsi="宋体" w:eastAsia="宋体"/>
                <w:b w:val="0"/>
                <w:sz w:val="21"/>
              </w:rPr>
              <w:t>判断镜头切换速度与节奏强度</w:t>
            </w:r>
          </w:p>
        </w:tc>
        <w:tc>
          <w:tcPr>
            <w:tcW w:type="dxa" w:w="1728"/>
          </w:tcPr>
          <w:p>
            <w:pPr>
              <w:spacing w:line="360" w:lineRule="auto" w:after="0" w:before="0"/>
              <w:ind w:firstLine="0"/>
              <w:jc w:val="left"/>
            </w:pPr>
            <w:r/>
            <w:r>
              <w:rPr>
                <w:rFonts w:ascii="宋体" w:hAnsi="宋体" w:eastAsia="宋体"/>
                <w:b w:val="0"/>
                <w:sz w:val="21"/>
              </w:rPr>
              <w:t>1=慢，2=中，3=快</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V19 品牌标识露出方式</w:t>
            </w:r>
          </w:p>
        </w:tc>
        <w:tc>
          <w:tcPr>
            <w:tcW w:type="dxa" w:w="1728"/>
          </w:tcPr>
          <w:p>
            <w:pPr>
              <w:spacing w:line="360" w:lineRule="auto" w:after="0" w:before="0"/>
              <w:ind w:firstLine="0"/>
              <w:jc w:val="left"/>
            </w:pPr>
            <w:r/>
            <w:r>
              <w:rPr>
                <w:rFonts w:ascii="宋体" w:hAnsi="宋体" w:eastAsia="宋体"/>
                <w:b w:val="0"/>
                <w:sz w:val="21"/>
              </w:rPr>
              <w:t>判断Logo或品牌符号的主要出现方式</w:t>
            </w:r>
          </w:p>
        </w:tc>
        <w:tc>
          <w:tcPr>
            <w:tcW w:type="dxa" w:w="1728"/>
          </w:tcPr>
          <w:p>
            <w:pPr>
              <w:spacing w:line="360" w:lineRule="auto" w:after="0" w:before="0"/>
              <w:ind w:firstLine="0"/>
              <w:jc w:val="left"/>
            </w:pPr>
            <w:r/>
            <w:r>
              <w:rPr>
                <w:rFonts w:ascii="宋体" w:hAnsi="宋体" w:eastAsia="宋体"/>
                <w:b w:val="0"/>
                <w:sz w:val="21"/>
              </w:rPr>
              <w:t>片头露出/片中嵌入/片尾强化/多次重复/无明显露出</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V20 产品露出强度</w:t>
            </w:r>
          </w:p>
        </w:tc>
        <w:tc>
          <w:tcPr>
            <w:tcW w:type="dxa" w:w="1728"/>
          </w:tcPr>
          <w:p>
            <w:pPr>
              <w:spacing w:line="360" w:lineRule="auto" w:after="0" w:before="0"/>
              <w:ind w:firstLine="0"/>
              <w:jc w:val="left"/>
            </w:pPr>
            <w:r/>
            <w:r>
              <w:rPr>
                <w:rFonts w:ascii="宋体" w:hAnsi="宋体" w:eastAsia="宋体"/>
                <w:b w:val="0"/>
                <w:sz w:val="21"/>
              </w:rPr>
              <w:t>判断产品在画面中的突出程度</w:t>
            </w:r>
          </w:p>
        </w:tc>
        <w:tc>
          <w:tcPr>
            <w:tcW w:type="dxa" w:w="1728"/>
          </w:tcPr>
          <w:p>
            <w:pPr>
              <w:spacing w:line="360" w:lineRule="auto" w:after="0" w:before="0"/>
              <w:ind w:firstLine="0"/>
              <w:jc w:val="left"/>
            </w:pPr>
            <w:r/>
            <w:r>
              <w:rPr>
                <w:rFonts w:ascii="宋体" w:hAnsi="宋体" w:eastAsia="宋体"/>
                <w:b w:val="0"/>
                <w:sz w:val="21"/>
              </w:rPr>
              <w:t>1=弱，2=中，3=强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V21 AIGC奇观化程度</w:t>
            </w:r>
          </w:p>
        </w:tc>
        <w:tc>
          <w:tcPr>
            <w:tcW w:type="dxa" w:w="1728"/>
          </w:tcPr>
          <w:p>
            <w:pPr>
              <w:spacing w:line="360" w:lineRule="auto" w:after="0" w:before="0"/>
              <w:ind w:firstLine="0"/>
              <w:jc w:val="left"/>
            </w:pPr>
            <w:r/>
            <w:r>
              <w:rPr>
                <w:rFonts w:ascii="宋体" w:hAnsi="宋体" w:eastAsia="宋体"/>
                <w:b w:val="0"/>
                <w:sz w:val="21"/>
              </w:rPr>
              <w:t>判断画面是否突出超现实生成效果</w:t>
            </w:r>
          </w:p>
        </w:tc>
        <w:tc>
          <w:tcPr>
            <w:tcW w:type="dxa" w:w="1728"/>
          </w:tcPr>
          <w:p>
            <w:pPr>
              <w:spacing w:line="360" w:lineRule="auto" w:after="0" w:before="0"/>
              <w:ind w:firstLine="0"/>
              <w:jc w:val="left"/>
            </w:pPr>
            <w:r/>
            <w:r>
              <w:rPr>
                <w:rFonts w:ascii="宋体" w:hAnsi="宋体" w:eastAsia="宋体"/>
                <w:b w:val="0"/>
                <w:sz w:val="21"/>
              </w:rPr>
              <w:t>1=低，2=中，3=高</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V22 品牌首次出现时间占比</w:t>
            </w:r>
          </w:p>
        </w:tc>
        <w:tc>
          <w:tcPr>
            <w:tcW w:type="dxa" w:w="1728"/>
          </w:tcPr>
          <w:p>
            <w:pPr>
              <w:spacing w:line="360" w:lineRule="auto" w:after="0" w:before="0"/>
              <w:ind w:firstLine="0"/>
              <w:jc w:val="left"/>
            </w:pPr>
            <w:r/>
            <w:r>
              <w:rPr>
                <w:rFonts w:ascii="宋体" w:hAnsi="宋体" w:eastAsia="宋体"/>
                <w:b w:val="0"/>
                <w:sz w:val="21"/>
              </w:rPr>
              <w:t>记录品牌名称、Logo或核心产品首次出现时间占全片时长的比例</w:t>
            </w:r>
          </w:p>
        </w:tc>
        <w:tc>
          <w:tcPr>
            <w:tcW w:type="dxa" w:w="1728"/>
          </w:tcPr>
          <w:p>
            <w:pPr>
              <w:spacing w:line="360" w:lineRule="auto" w:after="0" w:before="0"/>
              <w:ind w:firstLine="0"/>
              <w:jc w:val="left"/>
            </w:pPr>
            <w:r/>
            <w:r>
              <w:rPr>
                <w:rFonts w:ascii="宋体" w:hAnsi="宋体" w:eastAsia="宋体"/>
                <w:b w:val="0"/>
                <w:sz w:val="21"/>
              </w:rPr>
              <w:t>按“首次出现秒数/总时长”计算</w:t>
            </w:r>
          </w:p>
        </w:tc>
        <w:tc>
          <w:tcPr>
            <w:tcW w:type="dxa" w:w="1728"/>
          </w:tcPr>
          <w:p>
            <w:pPr>
              <w:spacing w:line="360" w:lineRule="auto" w:after="0" w:before="0"/>
              <w:ind w:firstLine="0"/>
              <w:jc w:val="left"/>
            </w:pPr>
            <w:r/>
            <w:r>
              <w:rPr>
                <w:rFonts w:ascii="宋体" w:hAnsi="宋体" w:eastAsia="宋体"/>
                <w:b w:val="0"/>
                <w:sz w:val="21"/>
              </w:rPr>
              <w:t>比例尺度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V23 人声类型</w:t>
            </w:r>
          </w:p>
        </w:tc>
        <w:tc>
          <w:tcPr>
            <w:tcW w:type="dxa" w:w="1728"/>
          </w:tcPr>
          <w:p>
            <w:pPr>
              <w:spacing w:line="360" w:lineRule="auto" w:after="0" w:before="0"/>
              <w:ind w:firstLine="0"/>
              <w:jc w:val="left"/>
            </w:pPr>
            <w:r/>
            <w:r>
              <w:rPr>
                <w:rFonts w:ascii="宋体" w:hAnsi="宋体" w:eastAsia="宋体"/>
                <w:b w:val="0"/>
                <w:sz w:val="21"/>
              </w:rPr>
              <w:t>判断主要发声主体类型</w:t>
            </w:r>
          </w:p>
        </w:tc>
        <w:tc>
          <w:tcPr>
            <w:tcW w:type="dxa" w:w="1728"/>
          </w:tcPr>
          <w:p>
            <w:pPr>
              <w:spacing w:line="360" w:lineRule="auto" w:after="0" w:before="0"/>
              <w:ind w:firstLine="0"/>
              <w:jc w:val="left"/>
            </w:pPr>
            <w:r/>
            <w:r>
              <w:rPr>
                <w:rFonts w:ascii="宋体" w:hAnsi="宋体" w:eastAsia="宋体"/>
                <w:b w:val="0"/>
                <w:sz w:val="21"/>
              </w:rPr>
              <w:t>男声/女声/童声/AI合成音/无人声/混合</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V24 音乐风格</w:t>
            </w:r>
          </w:p>
        </w:tc>
        <w:tc>
          <w:tcPr>
            <w:tcW w:type="dxa" w:w="1728"/>
          </w:tcPr>
          <w:p>
            <w:pPr>
              <w:spacing w:line="360" w:lineRule="auto" w:after="0" w:before="0"/>
              <w:ind w:firstLine="0"/>
              <w:jc w:val="left"/>
            </w:pPr>
            <w:r/>
            <w:r>
              <w:rPr>
                <w:rFonts w:ascii="宋体" w:hAnsi="宋体" w:eastAsia="宋体"/>
                <w:b w:val="0"/>
                <w:sz w:val="21"/>
              </w:rPr>
              <w:t>判断背景音乐的主要风格</w:t>
            </w:r>
          </w:p>
        </w:tc>
        <w:tc>
          <w:tcPr>
            <w:tcW w:type="dxa" w:w="1728"/>
          </w:tcPr>
          <w:p>
            <w:pPr>
              <w:spacing w:line="360" w:lineRule="auto" w:after="0" w:before="0"/>
              <w:ind w:firstLine="0"/>
              <w:jc w:val="left"/>
            </w:pPr>
            <w:r/>
            <w:r>
              <w:rPr>
                <w:rFonts w:ascii="宋体" w:hAnsi="宋体" w:eastAsia="宋体"/>
                <w:b w:val="0"/>
                <w:sz w:val="21"/>
              </w:rPr>
              <w:t>电子科技/抒情温和/节奏轻快/宏大史诗/无配乐/其他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V25 音效使用强度</w:t>
            </w:r>
          </w:p>
        </w:tc>
        <w:tc>
          <w:tcPr>
            <w:tcW w:type="dxa" w:w="1728"/>
          </w:tcPr>
          <w:p>
            <w:pPr>
              <w:spacing w:line="360" w:lineRule="auto" w:after="0" w:before="0"/>
              <w:ind w:firstLine="0"/>
              <w:jc w:val="left"/>
            </w:pPr>
            <w:r/>
            <w:r>
              <w:rPr>
                <w:rFonts w:ascii="宋体" w:hAnsi="宋体" w:eastAsia="宋体"/>
                <w:b w:val="0"/>
                <w:sz w:val="21"/>
              </w:rPr>
              <w:t>判断音效对画面推进的参与程度</w:t>
            </w:r>
          </w:p>
        </w:tc>
        <w:tc>
          <w:tcPr>
            <w:tcW w:type="dxa" w:w="1728"/>
          </w:tcPr>
          <w:p>
            <w:pPr>
              <w:spacing w:line="360" w:lineRule="auto" w:after="0" w:before="0"/>
              <w:ind w:firstLine="0"/>
              <w:jc w:val="left"/>
            </w:pPr>
            <w:r/>
            <w:r>
              <w:rPr>
                <w:rFonts w:ascii="宋体" w:hAnsi="宋体" w:eastAsia="宋体"/>
                <w:b w:val="0"/>
                <w:sz w:val="21"/>
              </w:rPr>
              <w:t>1=弱，2=中，3=强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V26 声音节奏特征</w:t>
            </w:r>
          </w:p>
        </w:tc>
        <w:tc>
          <w:tcPr>
            <w:tcW w:type="dxa" w:w="1728"/>
          </w:tcPr>
          <w:p>
            <w:pPr>
              <w:spacing w:line="360" w:lineRule="auto" w:after="0" w:before="0"/>
              <w:ind w:firstLine="0"/>
              <w:jc w:val="left"/>
            </w:pPr>
            <w:r/>
            <w:r>
              <w:rPr>
                <w:rFonts w:ascii="宋体" w:hAnsi="宋体" w:eastAsia="宋体"/>
                <w:b w:val="0"/>
                <w:sz w:val="21"/>
              </w:rPr>
              <w:t>判断整体听觉节奏的紧凑程度</w:t>
            </w:r>
          </w:p>
        </w:tc>
        <w:tc>
          <w:tcPr>
            <w:tcW w:type="dxa" w:w="1728"/>
          </w:tcPr>
          <w:p>
            <w:pPr>
              <w:spacing w:line="360" w:lineRule="auto" w:after="0" w:before="0"/>
              <w:ind w:firstLine="0"/>
              <w:jc w:val="left"/>
            </w:pPr>
            <w:r/>
            <w:r>
              <w:rPr>
                <w:rFonts w:ascii="宋体" w:hAnsi="宋体" w:eastAsia="宋体"/>
                <w:b w:val="0"/>
                <w:sz w:val="21"/>
              </w:rPr>
              <w:t>1=舒缓，2=均衡，3=强刺激</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品牌形象意义层</w:t>
            </w:r>
          </w:p>
        </w:tc>
        <w:tc>
          <w:tcPr>
            <w:tcW w:type="dxa" w:w="1728"/>
          </w:tcPr>
          <w:p>
            <w:pPr>
              <w:spacing w:line="360" w:lineRule="auto" w:after="0" w:before="0"/>
              <w:ind w:firstLine="0"/>
              <w:jc w:val="left"/>
            </w:pPr>
            <w:r/>
            <w:r>
              <w:rPr>
                <w:rFonts w:ascii="宋体" w:hAnsi="宋体" w:eastAsia="宋体"/>
                <w:b w:val="0"/>
                <w:sz w:val="21"/>
              </w:rPr>
              <w:t>V27 功能形象突出程度</w:t>
            </w:r>
          </w:p>
        </w:tc>
        <w:tc>
          <w:tcPr>
            <w:tcW w:type="dxa" w:w="1728"/>
          </w:tcPr>
          <w:p>
            <w:pPr>
              <w:spacing w:line="360" w:lineRule="auto" w:after="0" w:before="0"/>
              <w:ind w:firstLine="0"/>
              <w:jc w:val="left"/>
            </w:pPr>
            <w:r/>
            <w:r>
              <w:rPr>
                <w:rFonts w:ascii="宋体" w:hAnsi="宋体" w:eastAsia="宋体"/>
                <w:b w:val="0"/>
                <w:sz w:val="21"/>
              </w:rPr>
              <w:t>判断广告是否突出性能、功效或使用价值</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品牌形象意义层</w:t>
            </w:r>
          </w:p>
        </w:tc>
        <w:tc>
          <w:tcPr>
            <w:tcW w:type="dxa" w:w="1728"/>
          </w:tcPr>
          <w:p>
            <w:pPr>
              <w:spacing w:line="360" w:lineRule="auto" w:after="0" w:before="0"/>
              <w:ind w:firstLine="0"/>
              <w:jc w:val="left"/>
            </w:pPr>
            <w:r/>
            <w:r>
              <w:rPr>
                <w:rFonts w:ascii="宋体" w:hAnsi="宋体" w:eastAsia="宋体"/>
                <w:b w:val="0"/>
                <w:sz w:val="21"/>
              </w:rPr>
              <w:t>V28 情感形象突出程度</w:t>
            </w:r>
          </w:p>
        </w:tc>
        <w:tc>
          <w:tcPr>
            <w:tcW w:type="dxa" w:w="1728"/>
          </w:tcPr>
          <w:p>
            <w:pPr>
              <w:spacing w:line="360" w:lineRule="auto" w:after="0" w:before="0"/>
              <w:ind w:firstLine="0"/>
              <w:jc w:val="left"/>
            </w:pPr>
            <w:r/>
            <w:r>
              <w:rPr>
                <w:rFonts w:ascii="宋体" w:hAnsi="宋体" w:eastAsia="宋体"/>
                <w:b w:val="0"/>
                <w:sz w:val="21"/>
              </w:rPr>
              <w:t>判断广告是否突出情绪共鸣、陪伴或治愈属性</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品牌形象意义层</w:t>
            </w:r>
          </w:p>
        </w:tc>
        <w:tc>
          <w:tcPr>
            <w:tcW w:type="dxa" w:w="1728"/>
          </w:tcPr>
          <w:p>
            <w:pPr>
              <w:spacing w:line="360" w:lineRule="auto" w:after="0" w:before="0"/>
              <w:ind w:firstLine="0"/>
              <w:jc w:val="left"/>
            </w:pPr>
            <w:r/>
            <w:r>
              <w:rPr>
                <w:rFonts w:ascii="宋体" w:hAnsi="宋体" w:eastAsia="宋体"/>
                <w:b w:val="0"/>
                <w:sz w:val="21"/>
              </w:rPr>
              <w:t>V29 符号形象突出程度</w:t>
            </w:r>
          </w:p>
        </w:tc>
        <w:tc>
          <w:tcPr>
            <w:tcW w:type="dxa" w:w="1728"/>
          </w:tcPr>
          <w:p>
            <w:pPr>
              <w:spacing w:line="360" w:lineRule="auto" w:after="0" w:before="0"/>
              <w:ind w:firstLine="0"/>
              <w:jc w:val="left"/>
            </w:pPr>
            <w:r/>
            <w:r>
              <w:rPr>
                <w:rFonts w:ascii="宋体" w:hAnsi="宋体" w:eastAsia="宋体"/>
                <w:b w:val="0"/>
                <w:sz w:val="21"/>
              </w:rPr>
              <w:t>判断广告是否突出身份象征、审美风格或文化符号</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品牌形象意义层</w:t>
            </w:r>
          </w:p>
        </w:tc>
        <w:tc>
          <w:tcPr>
            <w:tcW w:type="dxa" w:w="1728"/>
          </w:tcPr>
          <w:p>
            <w:pPr>
              <w:spacing w:line="360" w:lineRule="auto" w:after="0" w:before="0"/>
              <w:ind w:firstLine="0"/>
              <w:jc w:val="left"/>
            </w:pPr>
            <w:r/>
            <w:r>
              <w:rPr>
                <w:rFonts w:ascii="宋体" w:hAnsi="宋体" w:eastAsia="宋体"/>
                <w:b w:val="0"/>
                <w:sz w:val="21"/>
              </w:rPr>
              <w:t>V30 价值形象突出程度</w:t>
            </w:r>
          </w:p>
        </w:tc>
        <w:tc>
          <w:tcPr>
            <w:tcW w:type="dxa" w:w="1728"/>
          </w:tcPr>
          <w:p>
            <w:pPr>
              <w:spacing w:line="360" w:lineRule="auto" w:after="0" w:before="0"/>
              <w:ind w:firstLine="0"/>
              <w:jc w:val="left"/>
            </w:pPr>
            <w:r/>
            <w:r>
              <w:rPr>
                <w:rFonts w:ascii="宋体" w:hAnsi="宋体" w:eastAsia="宋体"/>
                <w:b w:val="0"/>
                <w:sz w:val="21"/>
              </w:rPr>
              <w:t>判断广告是否突出责任、理念、可持续或社会价值</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V31 语言-视觉关系</w:t>
            </w:r>
          </w:p>
        </w:tc>
        <w:tc>
          <w:tcPr>
            <w:tcW w:type="dxa" w:w="1728"/>
          </w:tcPr>
          <w:p>
            <w:pPr>
              <w:spacing w:line="360" w:lineRule="auto" w:after="0" w:before="0"/>
              <w:ind w:firstLine="0"/>
              <w:jc w:val="left"/>
            </w:pPr>
            <w:r/>
            <w:r>
              <w:rPr>
                <w:rFonts w:ascii="宋体" w:hAnsi="宋体" w:eastAsia="宋体"/>
                <w:b w:val="0"/>
                <w:sz w:val="21"/>
              </w:rPr>
              <w:t>判断语言信息与视觉信息的对应关系</w:t>
            </w:r>
          </w:p>
        </w:tc>
        <w:tc>
          <w:tcPr>
            <w:tcW w:type="dxa" w:w="1728"/>
          </w:tcPr>
          <w:p>
            <w:pPr>
              <w:spacing w:line="360" w:lineRule="auto" w:after="0" w:before="0"/>
              <w:ind w:firstLine="0"/>
              <w:jc w:val="left"/>
            </w:pPr>
            <w:r/>
            <w:r>
              <w:rPr>
                <w:rFonts w:ascii="宋体" w:hAnsi="宋体" w:eastAsia="宋体"/>
                <w:b w:val="0"/>
                <w:sz w:val="21"/>
              </w:rPr>
              <w:t>强化/互补/解释/弱关联</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V32 视觉-听觉关系</w:t>
            </w:r>
          </w:p>
        </w:tc>
        <w:tc>
          <w:tcPr>
            <w:tcW w:type="dxa" w:w="1728"/>
          </w:tcPr>
          <w:p>
            <w:pPr>
              <w:spacing w:line="360" w:lineRule="auto" w:after="0" w:before="0"/>
              <w:ind w:firstLine="0"/>
              <w:jc w:val="left"/>
            </w:pPr>
            <w:r/>
            <w:r>
              <w:rPr>
                <w:rFonts w:ascii="宋体" w:hAnsi="宋体" w:eastAsia="宋体"/>
                <w:b w:val="0"/>
                <w:sz w:val="21"/>
              </w:rPr>
              <w:t>判断画面与声音之间的协同方式</w:t>
            </w:r>
          </w:p>
        </w:tc>
        <w:tc>
          <w:tcPr>
            <w:tcW w:type="dxa" w:w="1728"/>
          </w:tcPr>
          <w:p>
            <w:pPr>
              <w:spacing w:line="360" w:lineRule="auto" w:after="0" w:before="0"/>
              <w:ind w:firstLine="0"/>
              <w:jc w:val="left"/>
            </w:pPr>
            <w:r/>
            <w:r>
              <w:rPr>
                <w:rFonts w:ascii="宋体" w:hAnsi="宋体" w:eastAsia="宋体"/>
                <w:b w:val="0"/>
                <w:sz w:val="21"/>
              </w:rPr>
              <w:t>强化/互补/渲染/弱关联</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V33 语言-听觉关系</w:t>
            </w:r>
          </w:p>
        </w:tc>
        <w:tc>
          <w:tcPr>
            <w:tcW w:type="dxa" w:w="1728"/>
          </w:tcPr>
          <w:p>
            <w:pPr>
              <w:spacing w:line="360" w:lineRule="auto" w:after="0" w:before="0"/>
              <w:ind w:firstLine="0"/>
              <w:jc w:val="left"/>
            </w:pPr>
            <w:r/>
            <w:r>
              <w:rPr>
                <w:rFonts w:ascii="宋体" w:hAnsi="宋体" w:eastAsia="宋体"/>
                <w:b w:val="0"/>
                <w:sz w:val="21"/>
              </w:rPr>
              <w:t>判断文案、旁白与声音氛围的匹配程度</w:t>
            </w:r>
          </w:p>
        </w:tc>
        <w:tc>
          <w:tcPr>
            <w:tcW w:type="dxa" w:w="1728"/>
          </w:tcPr>
          <w:p>
            <w:pPr>
              <w:spacing w:line="360" w:lineRule="auto" w:after="0" w:before="0"/>
              <w:ind w:firstLine="0"/>
              <w:jc w:val="left"/>
            </w:pPr>
            <w:r/>
            <w:r>
              <w:rPr>
                <w:rFonts w:ascii="宋体" w:hAnsi="宋体" w:eastAsia="宋体"/>
                <w:b w:val="0"/>
                <w:sz w:val="21"/>
              </w:rPr>
              <w:t>强化/互补/反差/弱关联</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V34 整体模态协调度</w:t>
            </w:r>
          </w:p>
        </w:tc>
        <w:tc>
          <w:tcPr>
            <w:tcW w:type="dxa" w:w="1728"/>
          </w:tcPr>
          <w:p>
            <w:pPr>
              <w:spacing w:line="360" w:lineRule="auto" w:after="0" w:before="0"/>
              <w:ind w:firstLine="0"/>
              <w:jc w:val="left"/>
            </w:pPr>
            <w:r/>
            <w:r>
              <w:rPr>
                <w:rFonts w:ascii="宋体" w:hAnsi="宋体" w:eastAsia="宋体"/>
                <w:b w:val="0"/>
                <w:sz w:val="21"/>
              </w:rPr>
              <w:t>综合判断多模态资源的整体一致性与连贯性</w:t>
            </w:r>
          </w:p>
        </w:tc>
        <w:tc>
          <w:tcPr>
            <w:tcW w:type="dxa" w:w="1728"/>
          </w:tcPr>
          <w:p>
            <w:pPr>
              <w:spacing w:line="360" w:lineRule="auto" w:after="0" w:before="0"/>
              <w:ind w:firstLine="0"/>
              <w:jc w:val="left"/>
            </w:pPr>
            <w:r/>
            <w:r>
              <w:rPr>
                <w:rFonts w:ascii="宋体" w:hAnsi="宋体" w:eastAsia="宋体"/>
                <w:b w:val="0"/>
                <w:sz w:val="21"/>
              </w:rPr>
              <w:t>1=低，2=中，3=高</w:t>
            </w:r>
          </w:p>
        </w:tc>
        <w:tc>
          <w:tcPr>
            <w:tcW w:type="dxa" w:w="1728"/>
          </w:tcPr>
          <w:p>
            <w:pPr>
              <w:spacing w:line="360" w:lineRule="auto" w:after="0" w:before="0"/>
              <w:ind w:firstLine="0"/>
              <w:jc w:val="left"/>
            </w:pPr>
            <w:r/>
            <w:r>
              <w:rPr>
                <w:rFonts w:ascii="宋体" w:hAnsi="宋体" w:eastAsia="宋体"/>
                <w:b w:val="0"/>
                <w:sz w:val="21"/>
              </w:rPr>
              <w:t>顺序尺度</w:t>
            </w:r>
          </w:p>
        </w:tc>
      </w:tr>
    </w:tbl>
    <w:p>
      <w:pPr>
        <w:spacing w:line="360" w:lineRule="auto" w:after="0" w:before="0"/>
        <w:ind w:firstLine="480"/>
      </w:pPr>
      <w:r>
        <w:rPr>
          <w:rFonts w:ascii="宋体" w:hAnsi="宋体" w:eastAsia="宋体"/>
          <w:b w:val="0"/>
          <w:sz w:val="24"/>
        </w:rPr>
        <w:t>正式编码时，每一变量均设置统一变量名与赋值规则；如遇信息缺失或样本中无法判断的情况，统一记为缺失值并在统计阶段单独处理。对同时具备多重特征的样本，优先依据主导模态、出现频率最高的特征或品牌传播重心进行赋值，并在预编码阶段进一步细化判准，以提高编码一致性。对表达层和模态关系层变量而言，片段层记录仅作为判断依据，正式统计时均回收到视频层变量，再对全部样本进行频数、占比和交叉分析。</w:t>
      </w:r>
    </w:p>
    <w:p>
      <w:pPr>
        <w:pStyle w:val="Heading2"/>
        <w:spacing w:before="120" w:after="60" w:line="360" w:lineRule="auto"/>
      </w:pPr>
      <w:r>
        <w:rPr>
          <w:rFonts w:ascii="黑体" w:hAnsi="黑体" w:eastAsia="黑体"/>
          <w:b/>
          <w:sz w:val="24"/>
        </w:rPr>
        <w:t>4.6 研究实施步骤与质量控制</w:t>
      </w:r>
    </w:p>
    <w:p>
      <w:pPr>
        <w:spacing w:line="360" w:lineRule="auto" w:after="0" w:before="0"/>
        <w:ind w:firstLine="480"/>
      </w:pPr>
      <w:r>
        <w:rPr>
          <w:rFonts w:ascii="宋体" w:hAnsi="宋体" w:eastAsia="宋体"/>
          <w:b w:val="0"/>
          <w:sz w:val="24"/>
        </w:rPr>
        <w:t>本研究拟分五步实施。第一步，建立样本候选池并完成样本筛选，为每个案例整理品牌属性、发布时间、传播平台和AIGC可核验依据。第二步，制作编码表并进行预编码，随机抽取部分样本测试编码维度是否清晰、是否存在变量重叠或无法判断的情况。第三步，根据预编码结果修订正式编码手册，并对60条正式样本进行转录、切分、标注和编码；其中，片段层标注主要用于提取语言、视觉、听觉及模态关系信息，最终仍需统一汇总为视频层变量。第四步，将视频层编码结果录入统计表，对全部样本进行频数统计、占比分析和交叉分析。第五步，在统计结果基础上选取代表性案例进行补充解释，总结AIGC品牌视频广告的主要建构策略和常见问题。</w:t>
      </w:r>
    </w:p>
    <w:p>
      <w:pPr>
        <w:spacing w:line="360" w:lineRule="auto" w:after="0" w:before="0"/>
        <w:ind w:firstLine="480"/>
      </w:pPr>
      <w:r>
        <w:rPr>
          <w:rFonts w:ascii="宋体" w:hAnsi="宋体" w:eastAsia="宋体"/>
          <w:b w:val="0"/>
          <w:sz w:val="24"/>
        </w:rPr>
        <w:t>为提高量化编码研究的可靠性与有效性，本文将采取以下控制措施：一是在正式编码前形成明确的工作定义和编码说明，尽量减少概念模糊和判断分歧；二是对部分样本进行双人复编码，并通过一致性检验评估编码信度，若发现低一致变量则返回修订编码规则；三是所有统计结果均回到原始视频文本进行核对，避免因编码简化而扭曲文本意义；四是对研究结论坚持描述性和解释性边界，不把非概率样本的统计分布直接写成总体规律，也不把相关分布直接上升为因果机制。</w:t>
      </w:r>
    </w:p>
    <w:p>
      <w:pPr>
        <w:pStyle w:val="Heading1"/>
        <w:spacing w:before="120" w:after="60" w:line="360" w:lineRule="auto"/>
      </w:pPr>
      <w:r>
        <w:rPr>
          <w:rFonts w:ascii="黑体" w:hAnsi="黑体" w:eastAsia="黑体"/>
          <w:b/>
          <w:sz w:val="28"/>
        </w:rPr>
        <w:t>五、目前工作进展情况、存在问题及解决的方法和措施</w:t>
      </w:r>
    </w:p>
    <w:p>
      <w:pPr>
        <w:pStyle w:val="Heading2"/>
        <w:spacing w:before="120" w:after="60" w:line="360" w:lineRule="auto"/>
      </w:pPr>
      <w:r>
        <w:rPr>
          <w:rFonts w:ascii="黑体" w:hAnsi="黑体" w:eastAsia="黑体"/>
          <w:b/>
          <w:sz w:val="24"/>
        </w:rPr>
        <w:t>5.1 目前工作进展情况</w:t>
      </w:r>
    </w:p>
    <w:p>
      <w:pPr>
        <w:spacing w:line="360" w:lineRule="auto" w:after="0" w:before="0"/>
        <w:ind w:firstLine="480"/>
      </w:pPr>
      <w:r>
        <w:rPr>
          <w:rFonts w:ascii="宋体" w:hAnsi="宋体" w:eastAsia="宋体"/>
          <w:b w:val="0"/>
          <w:sz w:val="24"/>
        </w:rPr>
        <w:t>现阶段，本课题已经完成三项基础工作。第一，研究选题已完成聚焦，明确将研究对象限定为AIGC品牌视频广告，而不再采用人工广告与AIGC广告的双对象比较设计。第二，文献链条已完成初步梳理，基本形成“多模态话语分析理论与应用—视频广告与品牌形象建构—AIGC视频广告—研究缺口”的综述框架。第三，已开始参考多模态硕士论文的研究设计，初步提炼出适用于本研究的样本筛选原则、编码维度和量化分析路径。</w:t>
      </w:r>
    </w:p>
    <w:p>
      <w:pPr>
        <w:pStyle w:val="Heading2"/>
        <w:spacing w:before="120" w:after="60" w:line="360" w:lineRule="auto"/>
      </w:pPr>
      <w:r>
        <w:rPr>
          <w:rFonts w:ascii="黑体" w:hAnsi="黑体" w:eastAsia="黑体"/>
          <w:b/>
          <w:sz w:val="24"/>
        </w:rPr>
        <w:t>5.2 当前存在的主要问题</w:t>
      </w:r>
    </w:p>
    <w:p>
      <w:pPr>
        <w:spacing w:line="360" w:lineRule="auto" w:after="0" w:before="0"/>
        <w:ind w:firstLine="480"/>
      </w:pPr>
      <w:r>
        <w:rPr>
          <w:rFonts w:ascii="宋体" w:hAnsi="宋体" w:eastAsia="宋体"/>
          <w:b w:val="0"/>
          <w:sz w:val="24"/>
        </w:rPr>
        <w:t>5.2.1 品牌形象相关文献仍需进一步补充</w:t>
      </w:r>
    </w:p>
    <w:p>
      <w:pPr>
        <w:spacing w:line="360" w:lineRule="auto" w:after="0" w:before="0"/>
        <w:ind w:firstLine="480"/>
      </w:pPr>
      <w:r>
        <w:rPr>
          <w:rFonts w:ascii="宋体" w:hAnsi="宋体" w:eastAsia="宋体"/>
          <w:b w:val="0"/>
          <w:sz w:val="24"/>
        </w:rPr>
        <w:t>目前关于AIGC广告应用与效果的文献相对较多，但与品牌形象建构直接相关的经典研究和可用于细化分析维度的成果仍需继续补充，以增强理论支撑的完整性。</w:t>
      </w:r>
    </w:p>
    <w:p>
      <w:pPr>
        <w:spacing w:line="360" w:lineRule="auto" w:after="0" w:before="0"/>
        <w:ind w:firstLine="480"/>
      </w:pPr>
      <w:r>
        <w:rPr>
          <w:rFonts w:ascii="宋体" w:hAnsi="宋体" w:eastAsia="宋体"/>
          <w:b w:val="0"/>
          <w:sz w:val="24"/>
        </w:rPr>
        <w:t>5.2.2 样本边界与编码规则仍需进一步细化</w:t>
      </w:r>
    </w:p>
    <w:p>
      <w:pPr>
        <w:spacing w:line="360" w:lineRule="auto" w:after="0" w:before="0"/>
        <w:ind w:firstLine="480"/>
      </w:pPr>
      <w:r>
        <w:rPr>
          <w:rFonts w:ascii="宋体" w:hAnsi="宋体" w:eastAsia="宋体"/>
          <w:b w:val="0"/>
          <w:sz w:val="24"/>
        </w:rPr>
        <w:t>当前AIGC品牌视频广告大多属于人机协同产物，部分作品虽使用AI，但未必适合纳入本研究；部分作品虽具有品牌属性，但AIGC介入程度难以核验。同时，部分变量如“情感形象突出程度”“模态协调度”等仍需进一步明确工作定义，才能进入正式编码。</w:t>
      </w:r>
    </w:p>
    <w:p>
      <w:pPr>
        <w:spacing w:line="360" w:lineRule="auto" w:after="0" w:before="0"/>
        <w:ind w:firstLine="480"/>
      </w:pPr>
      <w:r>
        <w:rPr>
          <w:rFonts w:ascii="宋体" w:hAnsi="宋体" w:eastAsia="宋体"/>
          <w:b w:val="0"/>
          <w:sz w:val="24"/>
        </w:rPr>
        <w:t>5.2.3 量化编码存在信度控制与过度简化风险</w:t>
      </w:r>
    </w:p>
    <w:p>
      <w:pPr>
        <w:spacing w:line="360" w:lineRule="auto" w:after="0" w:before="0"/>
        <w:ind w:firstLine="480"/>
      </w:pPr>
      <w:r>
        <w:rPr>
          <w:rFonts w:ascii="宋体" w:hAnsi="宋体" w:eastAsia="宋体"/>
          <w:b w:val="0"/>
          <w:sz w:val="24"/>
        </w:rPr>
        <w:t>量化编码有助于提高研究的系统性，但若编码维度界定不清、不同编码者判断标准不一致，容易影响结果稳定性；同时，若过度依赖数字分布，也可能削弱对广告文本细节和品牌意义的解释力。</w:t>
      </w:r>
    </w:p>
    <w:p>
      <w:pPr>
        <w:pStyle w:val="Heading2"/>
        <w:spacing w:before="120" w:after="60" w:line="360" w:lineRule="auto"/>
      </w:pPr>
      <w:r>
        <w:rPr>
          <w:rFonts w:ascii="黑体" w:hAnsi="黑体" w:eastAsia="黑体"/>
          <w:b/>
          <w:sz w:val="24"/>
        </w:rPr>
        <w:t>5.3 解决的方法和措施</w:t>
      </w:r>
    </w:p>
    <w:p>
      <w:pPr>
        <w:spacing w:line="360" w:lineRule="auto" w:after="0" w:before="0"/>
        <w:ind w:firstLine="480"/>
      </w:pPr>
      <w:r>
        <w:rPr>
          <w:rFonts w:ascii="宋体" w:hAnsi="宋体" w:eastAsia="宋体"/>
          <w:b w:val="0"/>
          <w:sz w:val="24"/>
        </w:rPr>
        <w:t>5.3.1 继续补充品牌形象与视频广告研究文献</w:t>
      </w:r>
    </w:p>
    <w:p>
      <w:pPr>
        <w:spacing w:line="360" w:lineRule="auto" w:after="0" w:before="0"/>
        <w:ind w:firstLine="480"/>
      </w:pPr>
      <w:r>
        <w:rPr>
          <w:rFonts w:ascii="宋体" w:hAnsi="宋体" w:eastAsia="宋体"/>
          <w:b w:val="0"/>
          <w:sz w:val="24"/>
        </w:rPr>
        <w:t>后续将围绕品牌形象维度、视频广告叙事、品牌符号表达与多模态传播等主题继续补充文献，并在已有AIGC研究基础上形成更完整的综述结构。</w:t>
      </w:r>
    </w:p>
    <w:p>
      <w:pPr>
        <w:spacing w:line="360" w:lineRule="auto" w:after="0" w:before="0"/>
        <w:ind w:firstLine="480"/>
      </w:pPr>
      <w:r>
        <w:rPr>
          <w:rFonts w:ascii="宋体" w:hAnsi="宋体" w:eastAsia="宋体"/>
          <w:b w:val="0"/>
          <w:sz w:val="24"/>
        </w:rPr>
        <w:t>5.3.2 明确样本纳入规则并完善编码手册</w:t>
      </w:r>
    </w:p>
    <w:p>
      <w:pPr>
        <w:spacing w:line="360" w:lineRule="auto" w:after="0" w:before="0"/>
        <w:ind w:firstLine="480"/>
      </w:pPr>
      <w:r>
        <w:rPr>
          <w:rFonts w:ascii="宋体" w:hAnsi="宋体" w:eastAsia="宋体"/>
          <w:b w:val="0"/>
          <w:sz w:val="24"/>
        </w:rPr>
        <w:t>对每个候选案例记录品牌属性、发布时间、传播平台、AIGC可核验说明和文本完整度，对界定模糊的案例采取从严处理。同时，在正式编码前对各变量给出操作性定义、赋值规则和判断示例，降低编码歧义。</w:t>
      </w:r>
    </w:p>
    <w:p>
      <w:pPr>
        <w:spacing w:line="360" w:lineRule="auto" w:after="0" w:before="0"/>
        <w:ind w:firstLine="480"/>
      </w:pPr>
      <w:r>
        <w:rPr>
          <w:rFonts w:ascii="宋体" w:hAnsi="宋体" w:eastAsia="宋体"/>
          <w:b w:val="0"/>
          <w:sz w:val="24"/>
        </w:rPr>
        <w:t>5.3.3 通过预编码和复编码控制信度与解释边界</w:t>
      </w:r>
    </w:p>
    <w:p>
      <w:pPr>
        <w:spacing w:line="360" w:lineRule="auto" w:after="0" w:before="0"/>
        <w:ind w:firstLine="480"/>
      </w:pPr>
      <w:r>
        <w:rPr>
          <w:rFonts w:ascii="宋体" w:hAnsi="宋体" w:eastAsia="宋体"/>
          <w:b w:val="0"/>
          <w:sz w:val="24"/>
        </w:rPr>
        <w:t>在正式编码前先进行预编码，根据问题调整变量设置；正式编码阶段对部分样本实施双人复编码并进行一致性检验。对于量化结果无法充分解释的部分，再回到典型案例作补充分析；在涉及技术机制解释时，采用审慎措辞，避免把统计分布直接写成确定因果。</w:t>
      </w:r>
    </w:p>
    <w:p>
      <w:pPr>
        <w:pStyle w:val="Heading1"/>
        <w:spacing w:before="120" w:after="60" w:line="360" w:lineRule="auto"/>
      </w:pPr>
      <w:r>
        <w:rPr>
          <w:rFonts w:ascii="黑体" w:hAnsi="黑体" w:eastAsia="黑体"/>
          <w:b/>
          <w:sz w:val="28"/>
        </w:rPr>
        <w:t>六、完成论文时间及预期结果</w:t>
      </w:r>
    </w:p>
    <w:p>
      <w:pPr>
        <w:pStyle w:val="Heading2"/>
        <w:spacing w:before="120" w:after="60" w:line="360" w:lineRule="auto"/>
      </w:pPr>
      <w:r>
        <w:rPr>
          <w:rFonts w:ascii="黑体" w:hAnsi="黑体" w:eastAsia="黑体"/>
          <w:b/>
          <w:sz w:val="24"/>
        </w:rPr>
        <w:t>6.1 完成论文的时间安排</w:t>
      </w:r>
    </w:p>
    <w:p>
      <w:pPr>
        <w:spacing w:line="360" w:lineRule="auto" w:after="0" w:before="0"/>
        <w:ind w:firstLine="480"/>
      </w:pPr>
      <w:r>
        <w:rPr>
          <w:rFonts w:ascii="宋体" w:hAnsi="宋体" w:eastAsia="宋体"/>
          <w:b w:val="0"/>
          <w:sz w:val="24"/>
        </w:rPr>
        <w:t>2026年6月下旬至2026年7月：进一步完善开题报告，补充文献综述，完成核心概念界定与案例候选池整理。</w:t>
      </w:r>
    </w:p>
    <w:p>
      <w:pPr>
        <w:spacing w:line="360" w:lineRule="auto" w:after="0" w:before="0"/>
        <w:ind w:firstLine="480"/>
      </w:pPr>
      <w:r>
        <w:rPr>
          <w:rFonts w:ascii="宋体" w:hAnsi="宋体" w:eastAsia="宋体"/>
          <w:b w:val="0"/>
          <w:sz w:val="24"/>
        </w:rPr>
        <w:t>2026年8月至2026年9月：确定正式样本，完成样本库整理、预编码和正式编码手册修订。</w:t>
      </w:r>
    </w:p>
    <w:p>
      <w:pPr>
        <w:spacing w:line="360" w:lineRule="auto" w:after="0" w:before="0"/>
        <w:ind w:firstLine="480"/>
      </w:pPr>
      <w:r>
        <w:rPr>
          <w:rFonts w:ascii="宋体" w:hAnsi="宋体" w:eastAsia="宋体"/>
          <w:b w:val="0"/>
          <w:sz w:val="24"/>
        </w:rPr>
        <w:t>2026年10月至2026年11月：开展正式编码、统计分析和典型案例回看，初步归纳品牌形象建构策略。</w:t>
      </w:r>
    </w:p>
    <w:p>
      <w:pPr>
        <w:spacing w:line="360" w:lineRule="auto" w:after="0" w:before="0"/>
        <w:ind w:firstLine="480"/>
      </w:pPr>
      <w:r>
        <w:rPr>
          <w:rFonts w:ascii="宋体" w:hAnsi="宋体" w:eastAsia="宋体"/>
          <w:b w:val="0"/>
          <w:sz w:val="24"/>
        </w:rPr>
        <w:t>2026年12月至2027年2月：完成论文主体写作，整合文献综述、研究设计、编码结果、案例解释与策略总结。</w:t>
      </w:r>
    </w:p>
    <w:p>
      <w:pPr>
        <w:spacing w:line="360" w:lineRule="auto" w:after="0" w:before="0"/>
        <w:ind w:firstLine="480"/>
      </w:pPr>
      <w:r>
        <w:rPr>
          <w:rFonts w:ascii="宋体" w:hAnsi="宋体" w:eastAsia="宋体"/>
          <w:b w:val="0"/>
          <w:sz w:val="24"/>
        </w:rPr>
        <w:t>2027年3月：根据指导意见修改完善，完成定稿、格式统一与参考文献核校。</w:t>
      </w:r>
    </w:p>
    <w:p>
      <w:pPr>
        <w:pStyle w:val="Heading2"/>
        <w:spacing w:before="120" w:after="60" w:line="360" w:lineRule="auto"/>
      </w:pPr>
      <w:r>
        <w:rPr>
          <w:rFonts w:ascii="黑体" w:hAnsi="黑体" w:eastAsia="黑体"/>
          <w:b/>
          <w:sz w:val="24"/>
        </w:rPr>
        <w:t>6.2 预期结果</w:t>
      </w:r>
    </w:p>
    <w:p>
      <w:pPr>
        <w:spacing w:line="360" w:lineRule="auto" w:after="0" w:before="0"/>
        <w:ind w:firstLine="480"/>
      </w:pPr>
      <w:r>
        <w:rPr>
          <w:rFonts w:ascii="宋体" w:hAnsi="宋体" w:eastAsia="宋体"/>
          <w:b w:val="0"/>
          <w:sz w:val="24"/>
        </w:rPr>
        <w:t>本课题预计形成三项成果。第一，完成一篇围绕AIGC品牌视频广告品牌形象建构策略的学位论文。第二，形成一套基于多模态话语分析和量化内容编码的AIGC品牌视频广告分析框架，可用于描述和解释品牌形象的具体建构过程。第三，在统计分析和案例解释基础上总结当前AIGC品牌视频广告的主要建构策略、常见问题及优化方向，为后续相关研究和品牌实践提供参考。</w:t>
      </w:r>
    </w:p>
    <w:p>
      <w:pPr>
        <w:spacing w:line="360" w:lineRule="auto" w:after="0" w:before="0"/>
        <w:ind w:firstLine="480"/>
      </w:pPr>
      <w:r>
        <w:rPr>
          <w:rFonts w:ascii="宋体" w:hAnsi="宋体" w:eastAsia="宋体"/>
          <w:b w:val="0"/>
          <w:sz w:val="24"/>
        </w:rPr>
        <w:t>需要说明的是，本文参考文献的最终条目仍需在后续写作中依据已核验元数据统一整理并按学校格式规范化处理。</w:t>
      </w:r>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