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多模态话语视角下AIGC视频广告品牌形象建构策略研究</w:t>
      </w:r>
    </w:p>
    <w:p>
      <w:pPr>
        <w:pStyle w:val="Heading1"/>
        <w:spacing w:before="120" w:after="60" w:line="360" w:lineRule="auto"/>
      </w:pPr>
      <w:r>
        <w:rPr>
          <w:rFonts w:ascii="黑体" w:hAnsi="黑体" w:eastAsia="黑体"/>
          <w:b/>
          <w:sz w:val="28"/>
        </w:rPr>
        <w:t>一、课题的来源及选择本课题的指导思想</w:t>
      </w:r>
    </w:p>
    <w:p>
      <w:pPr>
        <w:pStyle w:val="Heading2"/>
        <w:spacing w:before="120" w:after="60" w:line="360" w:lineRule="auto"/>
      </w:pPr>
      <w:r>
        <w:rPr>
          <w:rFonts w:ascii="黑体" w:hAnsi="黑体" w:eastAsia="黑体"/>
          <w:b/>
          <w:sz w:val="24"/>
        </w:rPr>
        <w:t>1.1 课题提出的现实背景</w:t>
      </w:r>
    </w:p>
    <w:p>
      <w:pPr>
        <w:spacing w:line="360" w:lineRule="auto" w:after="0" w:before="0"/>
        <w:ind w:firstLine="480"/>
      </w:pPr>
      <w:r>
        <w:rPr>
          <w:rFonts w:ascii="宋体" w:hAnsi="宋体" w:eastAsia="宋体"/>
          <w:b w:val="0"/>
          <w:sz w:val="24"/>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pPr>
        <w:spacing w:line="360" w:lineRule="auto" w:after="0" w:before="0"/>
        <w:ind w:firstLine="480"/>
      </w:pPr>
      <w:r>
        <w:rPr>
          <w:rFonts w:ascii="宋体" w:hAnsi="宋体" w:eastAsia="宋体"/>
          <w:b w:val="0"/>
          <w:sz w:val="24"/>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品牌形象如何被重新建构”。</w:t>
      </w:r>
    </w:p>
    <w:p>
      <w:pPr>
        <w:pStyle w:val="Heading2"/>
        <w:spacing w:before="120" w:after="60" w:line="360" w:lineRule="auto"/>
      </w:pPr>
      <w:r>
        <w:rPr>
          <w:rFonts w:ascii="黑体" w:hAnsi="黑体" w:eastAsia="黑体"/>
          <w:b/>
          <w:sz w:val="24"/>
        </w:rPr>
        <w:t>1.2 AIGC进入品牌视频广告创作后带来的新问题</w:t>
      </w:r>
    </w:p>
    <w:p>
      <w:pPr>
        <w:spacing w:line="360" w:lineRule="auto" w:after="0" w:before="0"/>
        <w:ind w:firstLine="480"/>
      </w:pPr>
      <w:r>
        <w:rPr>
          <w:rFonts w:ascii="宋体" w:hAnsi="宋体" w:eastAsia="宋体"/>
          <w:b w:val="0"/>
          <w:sz w:val="24"/>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pPr>
        <w:spacing w:line="360" w:lineRule="auto" w:after="0" w:before="0"/>
        <w:ind w:firstLine="480"/>
      </w:pPr>
      <w:r>
        <w:rPr>
          <w:rFonts w:ascii="宋体" w:hAnsi="宋体" w:eastAsia="宋体"/>
          <w:b w:val="0"/>
          <w:sz w:val="24"/>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建构品牌形象的？又形成了哪些相对稳定的建构策略、常见问题与优化方向？</w:t>
      </w:r>
    </w:p>
    <w:p>
      <w:pPr>
        <w:pStyle w:val="Heading2"/>
        <w:spacing w:before="120" w:after="60" w:line="360" w:lineRule="auto"/>
      </w:pPr>
      <w:r>
        <w:rPr>
          <w:rFonts w:ascii="黑体" w:hAnsi="黑体" w:eastAsia="黑体"/>
          <w:b/>
          <w:sz w:val="24"/>
        </w:rPr>
        <w:t>1.3 本课题的学术转化路径</w:t>
      </w:r>
    </w:p>
    <w:p>
      <w:pPr>
        <w:spacing w:line="360" w:lineRule="auto" w:after="0" w:before="0"/>
        <w:ind w:firstLine="480"/>
      </w:pPr>
      <w:r>
        <w:rPr>
          <w:rFonts w:ascii="宋体" w:hAnsi="宋体" w:eastAsia="宋体"/>
          <w:b w:val="0"/>
          <w:sz w:val="24"/>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pPr>
        <w:spacing w:line="360" w:lineRule="auto" w:after="0" w:before="0"/>
        <w:ind w:firstLine="480"/>
      </w:pPr>
      <w:r>
        <w:rPr>
          <w:rFonts w:ascii="宋体" w:hAnsi="宋体" w:eastAsia="宋体"/>
          <w:b w:val="0"/>
          <w:sz w:val="24"/>
        </w:rPr>
        <w:t>基于此，本研究将现实中的“AIGC品牌视频广告兴起”转化为学术上的“多模态品牌形象建构问题”。研究不以开发视频生成技术或评价工具效率为目标，而是把AIGC品牌视频广告视为一种新型动态多模态文本，分析其如何调动文字、图像、色彩、音乐、音效、镜头与节奏等资源来塑造品牌意义，并进一步总结其建构策略。</w:t>
      </w:r>
    </w:p>
    <w:p>
      <w:pPr>
        <w:pStyle w:val="Heading2"/>
        <w:spacing w:before="120" w:after="60" w:line="360" w:lineRule="auto"/>
      </w:pPr>
      <w:r>
        <w:rPr>
          <w:rFonts w:ascii="黑体" w:hAnsi="黑体" w:eastAsia="黑体"/>
          <w:b/>
          <w:sz w:val="24"/>
        </w:rPr>
        <w:t>1.4 选择本课题的指导思想</w:t>
      </w:r>
    </w:p>
    <w:p>
      <w:pPr>
        <w:spacing w:line="360" w:lineRule="auto" w:after="0" w:before="0"/>
        <w:ind w:firstLine="480"/>
      </w:pPr>
      <w:r>
        <w:rPr>
          <w:rFonts w:ascii="宋体" w:hAnsi="宋体" w:eastAsia="宋体"/>
          <w:b w:val="0"/>
          <w:sz w:val="24"/>
        </w:rPr>
        <w:t>本课题以AIGC品牌视频广告为单一研究对象，坚持问题导向、文本导向与品牌导向相结合的研究思路。所谓问题导向，是从“品牌形象如何建构”这一核心问题出发组织全文，而非围绕技术背景做宽泛介绍；所谓文本导向，是把视频广告作为动态多模态语篇进行细读和比较，重点分析其内部符号结构；所谓品牌导向，是将分析落脚到品牌形象建构，而不是停留在一般性的内容描述层面。</w:t>
      </w:r>
    </w:p>
    <w:p>
      <w:pPr>
        <w:spacing w:line="360" w:lineRule="auto" w:after="0" w:before="0"/>
        <w:ind w:firstLine="480"/>
      </w:pPr>
      <w:r>
        <w:rPr>
          <w:rFonts w:ascii="宋体" w:hAnsi="宋体" w:eastAsia="宋体"/>
          <w:b w:val="0"/>
          <w:sz w:val="24"/>
        </w:rPr>
        <w:t>在具体研究路径上，本文拟以张德禄多模态话语分析框架为理论支撑，选取具有代表性的AIGC品牌视频广告案例，从语言模态、视觉模态、听觉模态及模态协同关系入手，分析品牌形象建构的具体方式，并在跨案例比较基础上提炼策略类型、诊断常见问题，形成面向品牌传播实践的优化建议。</w:t>
      </w:r>
    </w:p>
    <w:p>
      <w:pPr>
        <w:pStyle w:val="Heading1"/>
        <w:spacing w:before="120" w:after="60" w:line="360" w:lineRule="auto"/>
      </w:pPr>
      <w:r>
        <w:rPr>
          <w:rFonts w:ascii="黑体" w:hAnsi="黑体" w:eastAsia="黑体"/>
          <w:b/>
          <w:sz w:val="28"/>
        </w:rPr>
        <w:t>二、文献综述</w:t>
      </w:r>
    </w:p>
    <w:p>
      <w:pPr>
        <w:spacing w:line="360" w:lineRule="auto" w:after="0" w:before="0"/>
        <w:ind w:firstLine="480"/>
      </w:pPr>
      <w:r>
        <w:rPr>
          <w:rFonts w:ascii="宋体" w:hAnsi="宋体" w:eastAsia="宋体"/>
          <w:b w:val="0"/>
          <w:sz w:val="24"/>
        </w:rPr>
        <w:t>重新扫描新增论文后可以发现，近年的多模态话语分析论文在文献综述写法上虽然对象不同，但组织逻辑较为稳定：一类是先交代理论基础，再梳理方法应用和具体对象研究；另一类是先分对象研究脉络，再回到多模态方法本身，最后形成综述与切入点。李学娜（2025）围绕“全球传播研究—多模态话语分析研究—多模态话语分析的短视频研究—熊猫频道研究”展开，郑雲哲（2025）则采用“‘洋网红’研究—多模态话语分析研究—交叉研究—平台传播研究”的结构，杨诗（2025）使用“理论基础—国内研究现状—国外研究现状—国内外研究综述”的写法，王紫璇关于非遗文化节目主持人的研究则先梳理多模态话语分析理论，再进入相关应用研究和具体对象研究。参照这些文献综述的常见格式，本文不按作者逐条罗列，而是围绕“方法基础—应用研究—对象研究—问题研究—文献述评”五个层次展开，以保证文献综述既服务研究问题，也能够自然过渡到本文的研究设计。</w:t>
      </w:r>
    </w:p>
    <w:p>
      <w:pPr>
        <w:pStyle w:val="Heading2"/>
        <w:spacing w:before="120" w:after="60" w:line="360" w:lineRule="auto"/>
      </w:pPr>
      <w:r>
        <w:rPr>
          <w:rFonts w:ascii="黑体" w:hAnsi="黑体" w:eastAsia="黑体"/>
          <w:b/>
          <w:sz w:val="24"/>
        </w:rPr>
        <w:t>2.1 多模态话语分析的理论研究</w:t>
      </w:r>
    </w:p>
    <w:p>
      <w:pPr>
        <w:spacing w:line="360" w:lineRule="auto" w:after="0" w:before="0"/>
        <w:ind w:firstLine="480"/>
      </w:pPr>
      <w:r>
        <w:rPr>
          <w:rFonts w:ascii="宋体" w:hAnsi="宋体" w:eastAsia="宋体"/>
          <w:b w:val="0"/>
          <w:sz w:val="24"/>
        </w:rPr>
        <w:t>在多模态研究领域，学界已逐步形成较为清晰的理论脉络。早期研究主要围绕语言符号展开，随后随着图像、声音、动作、版式和数字界面在传播中的作用不断增强，研究重点转向多种模态如何共同生产意义。现有研究通常以系统功能语言学、视觉语法和多模态协同理论为主要支撑，强调语篇意义并非由单一语言模态独立完成，而是在不同符号资源的分工、互补和协同中生成。</w:t>
      </w:r>
    </w:p>
    <w:p>
      <w:pPr>
        <w:spacing w:line="360" w:lineRule="auto" w:after="0" w:before="0"/>
        <w:ind w:firstLine="480"/>
      </w:pPr>
      <w:r>
        <w:rPr>
          <w:rFonts w:ascii="宋体" w:hAnsi="宋体" w:eastAsia="宋体"/>
          <w:b w:val="0"/>
          <w:sz w:val="24"/>
        </w:rPr>
        <w:t>从新增论文看，多模态理论在传播学研究中的使用已相对稳定。王紫璇以非遗文化节目主持人为对象，将语言系统、视觉语法、功能语法和多模态协同结合起来，说明当前研究不再停留于“图文并存”的静态理解，而是把多模态话语视为由语言、身体、声音、画面共同构成的意义系统。杨诗（2025）在研究《中国日报》（海外版）“Culture”栏目时，则将文字、图像和排版纳入同一分析框架，进一步说明多模态研究的关注点已经从单一模态特征扩展到模态之间的结构性协同。</w:t>
      </w:r>
    </w:p>
    <w:p>
      <w:pPr>
        <w:spacing w:line="360" w:lineRule="auto" w:after="0" w:before="0"/>
        <w:ind w:firstLine="480"/>
      </w:pPr>
      <w:r>
        <w:rPr>
          <w:rFonts w:ascii="宋体" w:hAnsi="宋体" w:eastAsia="宋体"/>
          <w:b w:val="0"/>
          <w:sz w:val="24"/>
        </w:rPr>
        <w:t>对本文而言，张德禄等的多模态话语分析框架仍是最直接的理论支撑。该框架通常从文化语境、情景语境、内容层和表达层理解多模态意义生产，并关注不同模态在概念意义、人际意义和语篇意义上的协同关系。其价值在于，能够把广告中的品牌形象呈现从抽象判断转化为可分析的文本结构，使研究者得以具体考察文字、图像、色彩、声音、镜头和节奏如何共同服务于品牌意义建构。总体来看，多模态话语分析的理论研究已经为本文提供了较成熟的方法基础，但如何将这些理论进一步转化为AIGC品牌视频广告这一新对象的研究方案，仍需结合广告文本特征继续推进。</w:t>
      </w:r>
    </w:p>
    <w:p>
      <w:pPr>
        <w:pStyle w:val="Heading2"/>
        <w:spacing w:before="120" w:after="60" w:line="360" w:lineRule="auto"/>
      </w:pPr>
      <w:r>
        <w:rPr>
          <w:rFonts w:ascii="黑体" w:hAnsi="黑体" w:eastAsia="黑体"/>
          <w:b/>
          <w:sz w:val="24"/>
        </w:rPr>
        <w:t>2.2 多模态话语分析在动态视听文本中的应用研究</w:t>
      </w:r>
    </w:p>
    <w:p>
      <w:pPr>
        <w:spacing w:line="360" w:lineRule="auto" w:after="0" w:before="0"/>
        <w:ind w:firstLine="480"/>
      </w:pPr>
      <w:r>
        <w:rPr>
          <w:rFonts w:ascii="宋体" w:hAnsi="宋体" w:eastAsia="宋体"/>
          <w:b w:val="0"/>
          <w:sz w:val="24"/>
        </w:rPr>
        <w:t>从应用层面看，多模态话语分析已广泛用于纪录片、短视频、外宣语篇、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pPr>
        <w:spacing w:line="360" w:lineRule="auto" w:after="0" w:before="0"/>
        <w:ind w:firstLine="480"/>
      </w:pPr>
      <w:r>
        <w:rPr>
          <w:rFonts w:ascii="宋体" w:hAnsi="宋体" w:eastAsia="宋体"/>
          <w:b w:val="0"/>
          <w:sz w:val="24"/>
        </w:rPr>
        <w:t>新增论文进一步说明了这一点。郑雲哲（2025）选取哔哩哔哩平台五位百万粉级“洋网红”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pPr>
        <w:spacing w:line="360" w:lineRule="auto" w:after="0" w:before="0"/>
        <w:ind w:firstLine="480"/>
      </w:pPr>
      <w:r>
        <w:rPr>
          <w:rFonts w:ascii="宋体" w:hAnsi="宋体" w:eastAsia="宋体"/>
          <w:b w:val="0"/>
          <w:sz w:val="24"/>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关注仍相对不足。换言之，多模态话语分析的方法可用性已经得到验证，但其在品牌广告研究中的应用空间尚未被充分展开。</w:t>
      </w:r>
    </w:p>
    <w:p>
      <w:pPr>
        <w:pStyle w:val="Heading2"/>
        <w:spacing w:before="120" w:after="60" w:line="360" w:lineRule="auto"/>
      </w:pPr>
      <w:r>
        <w:rPr>
          <w:rFonts w:ascii="黑体" w:hAnsi="黑体" w:eastAsia="黑体"/>
          <w:b/>
          <w:sz w:val="24"/>
        </w:rPr>
        <w:t>2.3 视频广告与品牌形象建构研究</w:t>
      </w:r>
    </w:p>
    <w:p>
      <w:pPr>
        <w:spacing w:line="360" w:lineRule="auto" w:after="0" w:before="0"/>
        <w:ind w:firstLine="480"/>
      </w:pPr>
      <w:r>
        <w:rPr>
          <w:rFonts w:ascii="宋体" w:hAnsi="宋体" w:eastAsia="宋体"/>
          <w:b w:val="0"/>
          <w:sz w:val="24"/>
        </w:rPr>
        <w:t>视频广告研究是本文的重要对象基础。传统广告内容研究通常围绕广告诉求、叙事结构、人物设置、品牌呈现、情感表达和视听风格等维度展开，这些维度不仅用于描述广告“呈现了什么”，也用于解释广告“为何能够影响受众认知与态度”。从这个意义上说，视频广告本身就是一种典型的多模态传播文本，其传播效果在很大程度上取决于不同模态资源的组织方式。</w:t>
      </w:r>
    </w:p>
    <w:p>
      <w:pPr>
        <w:spacing w:line="360" w:lineRule="auto" w:after="0" w:before="0"/>
        <w:ind w:firstLine="480"/>
      </w:pPr>
      <w:r>
        <w:rPr>
          <w:rFonts w:ascii="宋体" w:hAnsi="宋体" w:eastAsia="宋体"/>
          <w:b w:val="0"/>
          <w:sz w:val="24"/>
        </w:rPr>
        <w:t>新增文献也说明，即便研究进入AIGC阶段，视频广告分析仍离不开内容维度的拆解。Koenigs（2026）在比较三类AI视频生成工具时，将效率、提示词准确性、视觉审美、叙事质量和最终输出质量作为评价标准；Liu与Yim（2026）则把审美性、真实性和创造性视为影响设计者采纳AI视频广告工具的关键内容质量因素。这些研究虽然不直接讨论品牌形象，但已经表明，视频广告研究始终要回到视觉呈现、叙事组织和整体输出质量这些内容层指标。</w:t>
      </w:r>
    </w:p>
    <w:p>
      <w:pPr>
        <w:spacing w:line="360" w:lineRule="auto" w:after="0" w:before="0"/>
        <w:ind w:firstLine="480"/>
      </w:pPr>
      <w:r>
        <w:rPr>
          <w:rFonts w:ascii="宋体" w:hAnsi="宋体" w:eastAsia="宋体"/>
          <w:b w:val="0"/>
          <w:sz w:val="24"/>
        </w:rPr>
        <w:t>品牌形象研究则为本文提供了核心问题意识。已有研究普遍认为，品牌形象并不等同于品牌名称、标识或产品露出的简单呈现，而是由功能认知、情感联结、符号认同和价值表达等多个层面共同构成。Keller（1993）进一步将品牌形象理解为消费者记忆中的品牌联想集合，这意味着广告中的品牌形象不仅取决于品牌名称是否出现，也取决于不同传播线索能否共同支撑稳定且有区隔度的品牌联想。在视频广告中，这种联想往往依赖语言、视觉和听觉资源的同步调动。由此可见，视频广告研究提供了文本分析的维度基础，品牌形象研究提供了意义判断的核心维度，但现有品牌形象研究大多形成于传统人工创作语境，对广告文本内部的多模态品牌意义生产讨论仍不够细化。</w:t>
      </w:r>
    </w:p>
    <w:p>
      <w:pPr>
        <w:pStyle w:val="Heading2"/>
        <w:spacing w:before="120" w:after="60" w:line="360" w:lineRule="auto"/>
      </w:pPr>
      <w:r>
        <w:rPr>
          <w:rFonts w:ascii="黑体" w:hAnsi="黑体" w:eastAsia="黑体"/>
          <w:b/>
          <w:sz w:val="24"/>
        </w:rPr>
        <w:t>2.4 AIGC视频广告研究</w:t>
      </w:r>
    </w:p>
    <w:p>
      <w:pPr>
        <w:spacing w:line="360" w:lineRule="auto" w:after="0" w:before="0"/>
        <w:ind w:firstLine="480"/>
      </w:pPr>
      <w:r>
        <w:rPr>
          <w:rFonts w:ascii="宋体" w:hAnsi="宋体" w:eastAsia="宋体"/>
          <w:b w:val="0"/>
          <w:sz w:val="24"/>
        </w:rPr>
        <w:t>在上述研究基础上，AIGC视频广告研究近年迅速增长，现有成果大体可以分为三类。</w:t>
      </w:r>
    </w:p>
    <w:p>
      <w:pPr>
        <w:spacing w:line="360" w:lineRule="auto" w:after="0" w:before="0"/>
        <w:ind w:firstLine="480"/>
      </w:pPr>
      <w:r>
        <w:rPr>
          <w:rFonts w:ascii="宋体" w:hAnsi="宋体" w:eastAsia="宋体"/>
          <w:b w:val="0"/>
          <w:sz w:val="24"/>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Koenigs（2026）进一步把研究推进到具体AI视频生成器的创作流程比较，考察不同工具在视频广告生产中的效率、提示词准确性与叙事质量差异。这一方向较好解释了AIGC如何进入广告生产。</w:t>
      </w:r>
    </w:p>
    <w:p>
      <w:pPr>
        <w:spacing w:line="360" w:lineRule="auto" w:after="0" w:before="0"/>
        <w:ind w:firstLine="480"/>
      </w:pPr>
      <w:r>
        <w:rPr>
          <w:rFonts w:ascii="宋体" w:hAnsi="宋体" w:eastAsia="宋体"/>
          <w:b w:val="0"/>
          <w:sz w:val="24"/>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AIGC广告与传统广告的差异。Baek、Kim与Kim（2026）围绕公益广告中的AI披露问题展开研究，发现披露AI生成内容会降低受众对广告的态度，而感知到的广告可信度在其中发挥中介作用；若受众更倾向把AI理解为“类人”而非“机器”，这种负面影响会有所减弱。这说明真实性、可信度和披露方式已成为AIGC广告研究的重要议题。</w:t>
      </w:r>
    </w:p>
    <w:p>
      <w:pPr>
        <w:spacing w:line="360" w:lineRule="auto" w:after="0" w:before="0"/>
        <w:ind w:firstLine="480"/>
      </w:pPr>
      <w:r>
        <w:rPr>
          <w:rFonts w:ascii="宋体" w:hAnsi="宋体" w:eastAsia="宋体"/>
          <w:b w:val="0"/>
          <w:sz w:val="24"/>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pPr>
        <w:spacing w:line="360" w:lineRule="auto" w:after="0" w:before="0"/>
        <w:ind w:firstLine="480"/>
      </w:pPr>
      <w:r>
        <w:rPr>
          <w:rFonts w:ascii="宋体" w:hAnsi="宋体" w:eastAsia="宋体"/>
          <w:b w:val="0"/>
          <w:sz w:val="24"/>
        </w:rPr>
        <w:t>总体来看，现有AIGC视频广告研究更多在回答“AIGC如何用于广告生产”“AIGC广告与人工广告有何效果差异”以及“从业者如何评价和采用AI工具”等问题，对于AIGC品牌视频广告作为一种多模态文本，其内部如何组织意义、如何呈现品牌形象、如何形成相对稳定的表达策略，仍缺乏更细的文本层分析。</w:t>
      </w:r>
    </w:p>
    <w:p>
      <w:pPr>
        <w:pStyle w:val="Heading2"/>
        <w:spacing w:before="120" w:after="60" w:line="360" w:lineRule="auto"/>
      </w:pPr>
      <w:r>
        <w:rPr>
          <w:rFonts w:ascii="黑体" w:hAnsi="黑体" w:eastAsia="黑体"/>
          <w:b/>
          <w:sz w:val="24"/>
        </w:rPr>
        <w:t>2.5 文献述评与本文切入点</w:t>
      </w:r>
    </w:p>
    <w:p>
      <w:pPr>
        <w:spacing w:line="360" w:lineRule="auto" w:after="0" w:before="0"/>
        <w:ind w:firstLine="480"/>
      </w:pPr>
      <w:r>
        <w:rPr>
          <w:rFonts w:ascii="宋体" w:hAnsi="宋体" w:eastAsia="宋体"/>
          <w:b w:val="0"/>
          <w:sz w:val="24"/>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稳定维度，但相关研究大多建立在传统人工创作语境之中。第三条是问题线：AIGC广告研究已经扩展到技术应用、广告效果、AI披露、工具采纳和内容质量评价，但更多把AI广告视为技术工具、实验刺激或行业现象，而非需要细读的多模态文本。</w:t>
      </w:r>
    </w:p>
    <w:p>
      <w:pPr>
        <w:spacing w:line="360" w:lineRule="auto" w:after="0" w:before="0"/>
        <w:ind w:firstLine="480"/>
      </w:pPr>
      <w:r>
        <w:rPr>
          <w:rFonts w:ascii="宋体" w:hAnsi="宋体" w:eastAsia="宋体"/>
          <w:b w:val="0"/>
          <w:sz w:val="24"/>
        </w:rPr>
        <w:t>据此，现有研究至少存在四点不足。其一，多模态话语分析的应用对象仍以公共传播文本为主，对AIGC品牌视频广告这一商业传播文本关注不足。其二，视频广告研究虽提供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pPr>
        <w:spacing w:line="360" w:lineRule="auto" w:after="0" w:before="0"/>
        <w:ind w:firstLine="480"/>
      </w:pPr>
      <w:r>
        <w:rPr>
          <w:rFonts w:ascii="宋体" w:hAnsi="宋体" w:eastAsia="宋体"/>
          <w:b w:val="0"/>
          <w:sz w:val="24"/>
        </w:rPr>
        <w:t>基于此，本文将以AIGC品牌视频广告为单一研究对象，从多模态话语视角考察其品牌形象的文本建构过程，重点分析语言模态、视觉模态、听觉模态及其协同关系如何共同塑造品牌功能形象、情感形象、符号形象和价值形象，并在跨样本比较基础上总结其相对稳定的建构策略、常见问题和优化方向。本文的意义不在于再次讨论AIGC是否能提高生产效率或引发何种态度反应，而在于补上现有研究在“广告文本内部品牌意义如何被多模态建构”这一层面的缺口。</w:t>
      </w:r>
    </w:p>
    <w:p>
      <w:pPr>
        <w:pStyle w:val="Heading1"/>
        <w:spacing w:before="120" w:after="60" w:line="360" w:lineRule="auto"/>
      </w:pPr>
      <w:r>
        <w:rPr>
          <w:rFonts w:ascii="黑体" w:hAnsi="黑体" w:eastAsia="黑体"/>
          <w:b/>
          <w:sz w:val="28"/>
        </w:rPr>
        <w:t>三、本课题研究的内容、目的和意义</w:t>
      </w:r>
    </w:p>
    <w:p>
      <w:pPr>
        <w:pStyle w:val="Heading2"/>
        <w:spacing w:before="120" w:after="60" w:line="360" w:lineRule="auto"/>
      </w:pPr>
      <w:r>
        <w:rPr>
          <w:rFonts w:ascii="黑体" w:hAnsi="黑体" w:eastAsia="黑体"/>
          <w:b/>
          <w:sz w:val="24"/>
        </w:rPr>
        <w:t>3.1 本课题研究的内容</w:t>
      </w:r>
    </w:p>
    <w:p>
      <w:pPr>
        <w:spacing w:line="360" w:lineRule="auto" w:after="0" w:before="0"/>
        <w:ind w:firstLine="480"/>
      </w:pPr>
      <w:r>
        <w:rPr>
          <w:rFonts w:ascii="宋体" w:hAnsi="宋体" w:eastAsia="宋体"/>
          <w:b w:val="0"/>
          <w:sz w:val="24"/>
        </w:rPr>
        <w:t>本课题围绕“AIGC品牌视频广告如何建构品牌形象”这一核心问题展开，主要包括四个方面。</w:t>
      </w:r>
    </w:p>
    <w:p>
      <w:pPr>
        <w:spacing w:line="360" w:lineRule="auto" w:after="0" w:before="0"/>
        <w:ind w:firstLine="480"/>
      </w:pPr>
      <w:r>
        <w:rPr>
          <w:rFonts w:ascii="宋体" w:hAnsi="宋体" w:eastAsia="宋体"/>
          <w:b w:val="0"/>
          <w:sz w:val="24"/>
        </w:rPr>
        <w:t>第一，界定核心概念并建立量化研究框架。本文将对“AIGC品牌视频广告”“品牌形象建构策略”“多模态资源”等核心概念作工作性界定，并在张德禄多模态话语分析框架基础上，形成适用于本研究的量化编码维度。</w:t>
      </w:r>
    </w:p>
    <w:p>
      <w:pPr>
        <w:spacing w:line="360" w:lineRule="auto" w:after="0" w:before="0"/>
        <w:ind w:firstLine="480"/>
      </w:pPr>
      <w:r>
        <w:rPr>
          <w:rFonts w:ascii="宋体" w:hAnsi="宋体" w:eastAsia="宋体"/>
          <w:b w:val="0"/>
          <w:sz w:val="24"/>
        </w:rPr>
        <w:t>第二，构建AIGC品牌视频广告样本库并开展多模态内容编码。研究将从公开发布的AIGC品牌视频广告中进行目的性抽样，形成研究样本，并围绕语境层、表达层、品牌形象意义层和模态关系层建立统一编码表。</w:t>
      </w:r>
    </w:p>
    <w:p>
      <w:pPr>
        <w:spacing w:line="360" w:lineRule="auto" w:after="0" w:before="0"/>
        <w:ind w:firstLine="480"/>
      </w:pPr>
      <w:r>
        <w:rPr>
          <w:rFonts w:ascii="宋体" w:hAnsi="宋体" w:eastAsia="宋体"/>
          <w:b w:val="0"/>
          <w:sz w:val="24"/>
        </w:rPr>
        <w:t>第三，对样本进行统计分析并归纳品牌形象建构策略。研究将通过频数统计、占比分析和交叉分析，考察不同模态资源的使用特征及其组合规律，并在此基础上提炼AIGC品牌视频广告的主要品牌形象建构类型。</w:t>
      </w:r>
    </w:p>
    <w:p>
      <w:pPr>
        <w:spacing w:line="360" w:lineRule="auto" w:after="0" w:before="0"/>
        <w:ind w:firstLine="480"/>
      </w:pPr>
      <w:r>
        <w:rPr>
          <w:rFonts w:ascii="宋体" w:hAnsi="宋体" w:eastAsia="宋体"/>
          <w:b w:val="0"/>
          <w:sz w:val="24"/>
        </w:rPr>
        <w:t>第四，在量化结果基础上结合典型案例进行补充解释，进一步诊断当前AIGC品牌视频广告在品牌形象建构中的常见问题，并提出优化建议。重点关注品牌识别弱化、叙事碎片化、情感表达不足、风格同质化以及技术奇观压过品牌意义等现象。</w:t>
      </w:r>
    </w:p>
    <w:p>
      <w:pPr>
        <w:pStyle w:val="Heading2"/>
        <w:spacing w:before="120" w:after="60" w:line="360" w:lineRule="auto"/>
      </w:pPr>
      <w:r>
        <w:rPr>
          <w:rFonts w:ascii="黑体" w:hAnsi="黑体" w:eastAsia="黑体"/>
          <w:b/>
          <w:sz w:val="24"/>
        </w:rPr>
        <w:t>3.2 本课题研究的目的</w:t>
      </w:r>
    </w:p>
    <w:p>
      <w:pPr>
        <w:spacing w:line="360" w:lineRule="auto" w:after="0" w:before="0"/>
        <w:ind w:firstLine="480"/>
      </w:pPr>
      <w:r>
        <w:rPr>
          <w:rFonts w:ascii="宋体" w:hAnsi="宋体" w:eastAsia="宋体"/>
          <w:b w:val="0"/>
          <w:sz w:val="24"/>
        </w:rPr>
        <w:t>本课题的第一项目的是构建适用于AIGC品牌视频广告研究的量化编码框架，回答这一类广告在多模态资源调动上“呈现了什么”以及“如何呈现”的问题。第二项目的是通过统计分析归纳AIGC品牌视频广告在品牌形象建构中的主要分布特征和组合规律，进一步提炼出若干具有解释力的建构策略。第三项目的是在量化结果和典型案例解释的基础上，为品牌方和创作团队提出更有针对性的优化思路，使AIGC广告创作更好地服务于品牌传播而非止步于视觉展示。</w:t>
      </w:r>
    </w:p>
    <w:p>
      <w:pPr>
        <w:pStyle w:val="Heading2"/>
        <w:spacing w:before="120" w:after="60" w:line="360" w:lineRule="auto"/>
      </w:pPr>
      <w:r>
        <w:rPr>
          <w:rFonts w:ascii="黑体" w:hAnsi="黑体" w:eastAsia="黑体"/>
          <w:b/>
          <w:sz w:val="24"/>
        </w:rPr>
        <w:t>3.3 本课题研究的意义</w:t>
      </w:r>
    </w:p>
    <w:p>
      <w:pPr>
        <w:spacing w:line="360" w:lineRule="auto" w:after="0" w:before="0"/>
        <w:ind w:firstLine="480"/>
      </w:pPr>
      <w:r>
        <w:rPr>
          <w:rFonts w:ascii="宋体" w:hAnsi="宋体" w:eastAsia="宋体"/>
          <w:b w:val="0"/>
          <w:sz w:val="24"/>
        </w:rPr>
        <w:t>本课题兼具理论意义与实践意义。</w:t>
      </w:r>
    </w:p>
    <w:p>
      <w:pPr>
        <w:spacing w:line="360" w:lineRule="auto" w:after="0" w:before="0"/>
        <w:ind w:firstLine="480"/>
      </w:pPr>
      <w:r>
        <w:rPr>
          <w:rFonts w:ascii="宋体" w:hAnsi="宋体" w:eastAsia="宋体"/>
          <w:b w:val="0"/>
          <w:sz w:val="24"/>
        </w:rPr>
        <w:t>在理论层面，第一，研究有助于推动AIGC广告研究由“工具应用”与“传播效果”转向“意义生产”与“品牌形象建构”，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pPr>
        <w:spacing w:line="360" w:lineRule="auto" w:after="0" w:before="0"/>
        <w:ind w:firstLine="480"/>
      </w:pPr>
      <w:r>
        <w:rPr>
          <w:rFonts w:ascii="宋体" w:hAnsi="宋体" w:eastAsia="宋体"/>
          <w:b w:val="0"/>
          <w:sz w:val="24"/>
        </w:rPr>
        <w:t>在实践层面，第一，研究能够为品牌方理解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pPr>
        <w:pStyle w:val="Heading1"/>
        <w:spacing w:before="120" w:after="60" w:line="360" w:lineRule="auto"/>
      </w:pPr>
      <w:r>
        <w:rPr>
          <w:rFonts w:ascii="黑体" w:hAnsi="黑体" w:eastAsia="黑体"/>
          <w:b/>
          <w:sz w:val="28"/>
        </w:rPr>
        <w:t>四、已有研究条件及研究设计方案</w:t>
      </w:r>
    </w:p>
    <w:p>
      <w:pPr>
        <w:pStyle w:val="Heading2"/>
        <w:spacing w:before="120" w:after="60" w:line="360" w:lineRule="auto"/>
      </w:pPr>
      <w:r>
        <w:rPr>
          <w:rFonts w:ascii="黑体" w:hAnsi="黑体" w:eastAsia="黑体"/>
          <w:b/>
          <w:sz w:val="24"/>
        </w:rPr>
        <w:t>4.1 已有研究条件</w:t>
      </w:r>
    </w:p>
    <w:p>
      <w:pPr>
        <w:spacing w:line="360" w:lineRule="auto" w:after="0" w:before="0"/>
        <w:ind w:firstLine="480"/>
      </w:pPr>
      <w:r>
        <w:rPr>
          <w:rFonts w:ascii="宋体" w:hAnsi="宋体" w:eastAsia="宋体"/>
          <w:b w:val="0"/>
          <w:sz w:val="24"/>
        </w:rPr>
        <w:t>（1）样本资源条件</w:t>
      </w:r>
    </w:p>
    <w:p>
      <w:pPr>
        <w:spacing w:line="360" w:lineRule="auto" w:after="0" w:before="0"/>
        <w:ind w:firstLine="480"/>
      </w:pPr>
      <w:r>
        <w:rPr>
          <w:rFonts w:ascii="宋体" w:hAnsi="宋体" w:eastAsia="宋体"/>
          <w:b w:val="0"/>
          <w:sz w:val="24"/>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pPr>
        <w:spacing w:line="360" w:lineRule="auto" w:after="0" w:before="0"/>
        <w:ind w:firstLine="480"/>
      </w:pPr>
      <w:r>
        <w:rPr>
          <w:rFonts w:ascii="宋体" w:hAnsi="宋体" w:eastAsia="宋体"/>
          <w:b w:val="0"/>
          <w:sz w:val="24"/>
        </w:rPr>
        <w:t>（2）文献与理论条件</w:t>
      </w:r>
    </w:p>
    <w:p>
      <w:pPr>
        <w:spacing w:line="360" w:lineRule="auto" w:after="0" w:before="0"/>
        <w:ind w:firstLine="480"/>
      </w:pPr>
      <w:r>
        <w:rPr>
          <w:rFonts w:ascii="宋体" w:hAnsi="宋体" w:eastAsia="宋体"/>
          <w:b w:val="0"/>
          <w:sz w:val="24"/>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pPr>
        <w:spacing w:line="360" w:lineRule="auto" w:after="0" w:before="0"/>
        <w:ind w:firstLine="480"/>
      </w:pPr>
      <w:r>
        <w:rPr>
          <w:rFonts w:ascii="宋体" w:hAnsi="宋体" w:eastAsia="宋体"/>
          <w:b w:val="0"/>
          <w:sz w:val="24"/>
        </w:rPr>
        <w:t>（3）技术与软件条件</w:t>
      </w:r>
    </w:p>
    <w:p>
      <w:pPr>
        <w:spacing w:line="360" w:lineRule="auto" w:after="0" w:before="0"/>
        <w:ind w:firstLine="480"/>
      </w:pPr>
      <w:r>
        <w:rPr>
          <w:rFonts w:ascii="宋体" w:hAnsi="宋体" w:eastAsia="宋体"/>
          <w:b w:val="0"/>
          <w:sz w:val="24"/>
        </w:rPr>
        <w:t>本研究拟借助视频抽帧、字幕提取、OCR识别等工具辅助整理原始材料，并使用视频标注软件和统计软件建立样本编码库。前者主要用于镜头切分、字幕转录和多模态标注，后者主要用于编码录入、频数统计、占比分析和交叉分析。</w:t>
      </w:r>
    </w:p>
    <w:p>
      <w:pPr>
        <w:pStyle w:val="Heading2"/>
        <w:spacing w:before="120" w:after="60" w:line="360" w:lineRule="auto"/>
      </w:pPr>
      <w:r>
        <w:rPr>
          <w:rFonts w:ascii="黑体" w:hAnsi="黑体" w:eastAsia="黑体"/>
          <w:b/>
          <w:sz w:val="24"/>
        </w:rPr>
        <w:t>4.2 研究思路、核心概念与研究问题</w:t>
      </w:r>
    </w:p>
    <w:p>
      <w:pPr>
        <w:spacing w:line="360" w:lineRule="auto" w:after="0" w:before="0"/>
        <w:ind w:firstLine="480"/>
      </w:pPr>
      <w:r>
        <w:rPr>
          <w:rFonts w:ascii="宋体" w:hAnsi="宋体" w:eastAsia="宋体"/>
          <w:b w:val="0"/>
          <w:sz w:val="24"/>
        </w:rPr>
        <w:t>本研究的总体思路是：从AIGC品牌视频广告的行业现象出发，构建样本库，建立编码表，对样本进行多模态量化编码，并在统计结果基础上结合典型案例进行补充解释，最终归纳其品牌形象建构策略并提出优化建议。其逻辑链条为：“样本库构建—编码维度确定—预编码与正式编码—统计分析—典型案例解释—策略归纳与问题诊断”。</w:t>
      </w:r>
    </w:p>
    <w:p>
      <w:pPr>
        <w:spacing w:line="360" w:lineRule="auto" w:after="0" w:before="0"/>
        <w:ind w:firstLine="480"/>
      </w:pPr>
      <w:r>
        <w:rPr>
          <w:rFonts w:ascii="宋体" w:hAnsi="宋体" w:eastAsia="宋体"/>
          <w:b w:val="0"/>
          <w:sz w:val="24"/>
        </w:rPr>
        <w:t>在核心概念上，本文作如下工作性界定：其一，AIGC品牌视频广告，指在脚本生成、画面生成、角色塑造、配音配乐或整体合成等关键环节中明确使用生成式人工智能，并以品牌传播为目标的公开视频广告。其二，品牌形象建构策略，指广告通过多种模态资源的选择、组合和协同来呈现品牌功能、情感、符号和价值意义的相对稳定方式。其三，多模态资源，主要包括语言文字、画面构图、色彩风格、角色形象、音乐音效、配音语调、镜头运动与剪辑节奏等。</w:t>
      </w:r>
    </w:p>
    <w:p>
      <w:pPr>
        <w:spacing w:line="360" w:lineRule="auto" w:after="0" w:before="0"/>
        <w:ind w:firstLine="480"/>
      </w:pPr>
      <w:r>
        <w:rPr>
          <w:rFonts w:ascii="宋体" w:hAnsi="宋体" w:eastAsia="宋体"/>
          <w:b w:val="0"/>
          <w:sz w:val="24"/>
        </w:rPr>
        <w:t>在分析框架上，本文将借鉴多模态研究中常见的分层分析路径，把AIGC品牌视频广告的量化研究框架划分为语境层、表达层、品牌形象意义层和模态关系层。语境层用于识别广告的传播场景和诉求导向；表达层用于编码语言、视觉和听觉资源的使用特征；品牌形象意义层用于判断广告主要建构的品牌形象维度；模态关系层用于考察不同模态之间的互补、强化和协调方式。</w:t>
      </w:r>
    </w:p>
    <w:p>
      <w:pPr>
        <w:spacing w:line="360" w:lineRule="auto" w:after="0" w:before="0"/>
        <w:ind w:firstLine="480"/>
      </w:pPr>
      <w:r>
        <w:rPr>
          <w:rFonts w:ascii="宋体" w:hAnsi="宋体" w:eastAsia="宋体"/>
          <w:b w:val="0"/>
          <w:sz w:val="24"/>
        </w:rPr>
        <w:t>围绕上述界定，本文拟提出以下研究问题：</w:t>
      </w:r>
    </w:p>
    <w:p>
      <w:pPr>
        <w:spacing w:line="360" w:lineRule="auto" w:after="0" w:before="0"/>
        <w:ind w:firstLine="480"/>
      </w:pPr>
      <w:r>
        <w:rPr>
          <w:rFonts w:ascii="宋体" w:hAnsi="宋体" w:eastAsia="宋体"/>
          <w:b w:val="0"/>
          <w:sz w:val="24"/>
        </w:rPr>
        <w:t>RQ1：AIGC品牌视频广告在语境层、表达层、品牌形象意义层和模态关系层分别呈现出怎样的量化分布特征？</w:t>
      </w:r>
    </w:p>
    <w:p>
      <w:pPr>
        <w:spacing w:line="360" w:lineRule="auto" w:after="0" w:before="0"/>
        <w:ind w:firstLine="480"/>
      </w:pPr>
      <w:r>
        <w:rPr>
          <w:rFonts w:ascii="宋体" w:hAnsi="宋体" w:eastAsia="宋体"/>
          <w:b w:val="0"/>
          <w:sz w:val="24"/>
        </w:rPr>
        <w:t>RQ2：语言、视觉、听觉资源及其协同关系在样本中形成了哪些相对稳定的品牌形象建构模式？</w:t>
      </w:r>
    </w:p>
    <w:p>
      <w:pPr>
        <w:spacing w:line="360" w:lineRule="auto" w:after="0" w:before="0"/>
        <w:ind w:firstLine="480"/>
      </w:pPr>
      <w:r>
        <w:rPr>
          <w:rFonts w:ascii="宋体" w:hAnsi="宋体" w:eastAsia="宋体"/>
          <w:b w:val="0"/>
          <w:sz w:val="24"/>
        </w:rPr>
        <w:t>RQ3：当前AIGC品牌视频广告在品牌形象建构中存在哪些常见问题，其优化方向是什么？</w:t>
      </w:r>
    </w:p>
    <w:p>
      <w:pPr>
        <w:pStyle w:val="Heading2"/>
        <w:spacing w:before="120" w:after="60" w:line="360" w:lineRule="auto"/>
      </w:pPr>
      <w:r>
        <w:rPr>
          <w:rFonts w:ascii="黑体" w:hAnsi="黑体" w:eastAsia="黑体"/>
          <w:b/>
          <w:sz w:val="24"/>
        </w:rPr>
        <w:t>4.3 研究对象与样本设计</w:t>
      </w:r>
    </w:p>
    <w:p>
      <w:pPr>
        <w:spacing w:line="360" w:lineRule="auto" w:after="0" w:before="0"/>
        <w:ind w:firstLine="480"/>
      </w:pPr>
      <w:r>
        <w:rPr>
          <w:rFonts w:ascii="宋体" w:hAnsi="宋体" w:eastAsia="宋体"/>
          <w:b w:val="0"/>
          <w:sz w:val="24"/>
        </w:rPr>
        <w:t>本研究的对象明确限定为AIGC品牌视频广告这一单一对象，不再设置“人工广告”与“AIGC广告”的双组比较。这样处理有助于避免研究对象漂移，也更符合本课题的题目与研究目标。</w:t>
      </w:r>
    </w:p>
    <w:p>
      <w:pPr>
        <w:spacing w:line="360" w:lineRule="auto" w:after="0" w:before="0"/>
        <w:ind w:firstLine="480"/>
      </w:pPr>
      <w:r>
        <w:rPr>
          <w:rFonts w:ascii="宋体" w:hAnsi="宋体" w:eastAsia="宋体"/>
          <w:b w:val="0"/>
          <w:sz w:val="24"/>
        </w:rPr>
        <w:t>在总体界定上，本研究所指的总体是2024年1月1日至2026年6月1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pPr>
        <w:spacing w:line="360" w:lineRule="auto" w:after="0" w:before="0"/>
        <w:ind w:firstLine="480"/>
      </w:pPr>
      <w:r>
        <w:rPr>
          <w:rFonts w:ascii="宋体" w:hAnsi="宋体" w:eastAsia="宋体"/>
          <w:b w:val="0"/>
          <w:sz w:val="24"/>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pPr>
        <w:spacing w:line="360" w:lineRule="auto" w:after="0" w:before="0"/>
        <w:ind w:firstLine="480"/>
      </w:pPr>
      <w:r>
        <w:rPr>
          <w:rFonts w:ascii="宋体" w:hAnsi="宋体" w:eastAsia="宋体"/>
          <w:b w:val="0"/>
          <w:sz w:val="24"/>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层观察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pPr>
        <w:pStyle w:val="Heading2"/>
        <w:spacing w:before="120" w:after="60" w:line="360" w:lineRule="auto"/>
      </w:pPr>
      <w:r>
        <w:rPr>
          <w:rFonts w:ascii="黑体" w:hAnsi="黑体" w:eastAsia="黑体"/>
          <w:b/>
          <w:sz w:val="24"/>
        </w:rPr>
        <w:t>4.4 研究方法</w:t>
      </w:r>
    </w:p>
    <w:p>
      <w:pPr>
        <w:spacing w:line="360" w:lineRule="auto" w:after="0" w:before="0"/>
        <w:ind w:firstLine="480"/>
      </w:pPr>
      <w:r>
        <w:rPr>
          <w:rFonts w:ascii="宋体" w:hAnsi="宋体" w:eastAsia="宋体"/>
          <w:b w:val="0"/>
          <w:sz w:val="24"/>
        </w:rPr>
        <w:t>本研究主要采用以下方法。</w:t>
      </w:r>
    </w:p>
    <w:p>
      <w:pPr>
        <w:spacing w:line="360" w:lineRule="auto" w:after="0" w:before="0"/>
        <w:ind w:firstLine="480"/>
      </w:pPr>
      <w:r>
        <w:rPr>
          <w:rFonts w:ascii="宋体" w:hAnsi="宋体" w:eastAsia="宋体"/>
          <w:b w:val="0"/>
          <w:sz w:val="24"/>
        </w:rPr>
        <w:t>第一，文献分析法。用于梳理AIGC广告研究、品牌形象研究与多模态话语分析的已有成果，明确研究缺口并搭建理论框架。</w:t>
      </w:r>
    </w:p>
    <w:p>
      <w:pPr>
        <w:spacing w:line="360" w:lineRule="auto" w:after="0" w:before="0"/>
        <w:ind w:firstLine="480"/>
      </w:pPr>
      <w:r>
        <w:rPr>
          <w:rFonts w:ascii="宋体" w:hAnsi="宋体" w:eastAsia="宋体"/>
          <w:b w:val="0"/>
          <w:sz w:val="24"/>
        </w:rPr>
        <w:t>第二，内容分析法。以AIGC品牌视频广告为研究文本，对其多模态资源进行系统编码和分类，通过量化方式考察广告文本中的稳定特征。由于本研究关注的是品牌形象如何被呈现，内容分析法能够较好实现从文本观察到统计归纳的转换。这里的重点不是逐条广告分别撰写表达分析，而是在统一编码框架下对全体样本的模态特征进行跨案例比较。</w:t>
      </w:r>
    </w:p>
    <w:p>
      <w:pPr>
        <w:spacing w:line="360" w:lineRule="auto" w:after="0" w:before="0"/>
        <w:ind w:firstLine="480"/>
      </w:pPr>
      <w:r>
        <w:rPr>
          <w:rFonts w:ascii="宋体" w:hAnsi="宋体" w:eastAsia="宋体"/>
          <w:b w:val="0"/>
          <w:sz w:val="24"/>
        </w:rPr>
        <w:t>第三，多模态语料辅助编码法。研究拟借助视频标注工具对样本进行转录、切分和分层标注，将字幕、画面、声音和镜头等信息整理为可统计的编码材料。该方法吸收多模态硕士论文中“语料库辅助分析”的设计思路，但本研究以品牌广告为对象，重点服务于编码和统计，而非纯语料库语言学研究。也就是说，片段层标注主要承担“提取变量”的功能，正式进入统计分析时仍以汇总后的视频层变量为准。</w:t>
      </w:r>
    </w:p>
    <w:p>
      <w:pPr>
        <w:spacing w:line="360" w:lineRule="auto" w:after="0" w:before="0"/>
        <w:ind w:firstLine="480"/>
      </w:pPr>
      <w:r>
        <w:rPr>
          <w:rFonts w:ascii="宋体" w:hAnsi="宋体" w:eastAsia="宋体"/>
          <w:b w:val="0"/>
          <w:sz w:val="24"/>
        </w:rPr>
        <w:t>第四，描述性统计与交叉分析法。对正式样本的编码结果进行频数统计、占比分析和交叉比较，呈现AIGC品牌视频广告在模态使用和品牌形象建构方面的分布规律，并据此初步归纳不同的策略类型。</w:t>
      </w:r>
    </w:p>
    <w:p>
      <w:pPr>
        <w:spacing w:line="360" w:lineRule="auto" w:after="0" w:before="0"/>
        <w:ind w:firstLine="480"/>
      </w:pPr>
      <w:r>
        <w:rPr>
          <w:rFonts w:ascii="宋体" w:hAnsi="宋体" w:eastAsia="宋体"/>
          <w:b w:val="0"/>
          <w:sz w:val="24"/>
        </w:rPr>
        <w:t>第五，典型案例补充分析法。在量化结果基础上，选取具有代表性的个案对统计结果进行解释，避免仅有数字而缺乏文本意义分析。这样可以形成“量化编码为主、定性解释为辅”的研究路径。</w:t>
      </w:r>
    </w:p>
    <w:p>
      <w:pPr>
        <w:pStyle w:val="Heading2"/>
        <w:spacing w:before="120" w:after="60" w:line="360" w:lineRule="auto"/>
      </w:pPr>
      <w:r>
        <w:rPr>
          <w:rFonts w:ascii="黑体" w:hAnsi="黑体" w:eastAsia="黑体"/>
          <w:b/>
          <w:sz w:val="24"/>
        </w:rPr>
        <w:t>4.5 分析维度与操作化思路</w:t>
      </w:r>
    </w:p>
    <w:p>
      <w:pPr>
        <w:spacing w:line="360" w:lineRule="auto" w:after="0" w:before="0"/>
        <w:ind w:firstLine="480"/>
      </w:pPr>
      <w:r>
        <w:rPr>
          <w:rFonts w:ascii="宋体" w:hAnsi="宋体" w:eastAsia="宋体"/>
          <w:b w:val="0"/>
          <w:sz w:val="24"/>
        </w:rPr>
        <w:t>本研究拟借鉴量化编码研究的思路，围绕五个层级建立编码表，并将变量尽可能转化为可统计的类别指标、顺序指标和少量比例指标。需要特别说明的是，本文虽然以单支广告作为样本单位，但表达层并不采用“逐案拆开写”的分析方式，而是先借助片段层标注提取变量，再把结果汇总为视频层数据，最后按统一模态维度对全部样本展开统计比较。</w:t>
      </w:r>
    </w:p>
    <w:p>
      <w:pPr>
        <w:spacing w:line="360" w:lineRule="auto" w:after="0" w:before="0"/>
        <w:ind w:firstLine="480"/>
      </w:pPr>
      <w:r>
        <w:rPr>
          <w:rFonts w:ascii="宋体" w:hAnsi="宋体" w:eastAsia="宋体"/>
          <w:b w:val="0"/>
          <w:sz w:val="24"/>
        </w:rPr>
        <w:t>第一，基础信息变量。主要包括发布时间、传播平台、品牌品类、视频时长、AIGC披露方式等，用于描述样本基本构成并控制样本边界。</w:t>
      </w:r>
    </w:p>
    <w:p>
      <w:pPr>
        <w:spacing w:line="360" w:lineRule="auto" w:after="0" w:before="0"/>
        <w:ind w:firstLine="480"/>
      </w:pPr>
      <w:r>
        <w:rPr>
          <w:rFonts w:ascii="宋体" w:hAnsi="宋体" w:eastAsia="宋体"/>
          <w:b w:val="0"/>
          <w:sz w:val="24"/>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pPr>
        <w:spacing w:line="360" w:lineRule="auto" w:after="0" w:before="0"/>
        <w:ind w:firstLine="480"/>
      </w:pPr>
      <w:r>
        <w:rPr>
          <w:rFonts w:ascii="宋体" w:hAnsi="宋体" w:eastAsia="宋体"/>
          <w:b w:val="0"/>
          <w:sz w:val="24"/>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逐支广告分别展开描述。</w:t>
      </w:r>
    </w:p>
    <w:p>
      <w:pPr>
        <w:spacing w:line="360" w:lineRule="auto" w:after="0" w:before="0"/>
        <w:ind w:firstLine="480"/>
      </w:pPr>
      <w:r>
        <w:rPr>
          <w:rFonts w:ascii="宋体" w:hAnsi="宋体" w:eastAsia="宋体"/>
          <w:b w:val="0"/>
          <w:sz w:val="24"/>
        </w:rPr>
        <w:t>第四，品牌形象意义层变量。参考品牌形象研究成果，将广告主要建构的品牌形象划分为功能形象、情感形象、符号形象和价值形象四类，并记录各类形象在单支广告中的突出程度。编码时可采用“未突出、一般突出、显著突出”的顺序尺度，以便后续统计其分布情况。</w:t>
      </w:r>
    </w:p>
    <w:p>
      <w:pPr>
        <w:spacing w:line="360" w:lineRule="auto" w:after="0" w:before="0"/>
        <w:ind w:firstLine="480"/>
      </w:pPr>
      <w:r>
        <w:rPr>
          <w:rFonts w:ascii="宋体" w:hAnsi="宋体" w:eastAsia="宋体"/>
          <w:b w:val="0"/>
          <w:sz w:val="24"/>
        </w:rP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完成品牌形象建构。</w:t>
      </w:r>
    </w:p>
    <w:p>
      <w:pPr>
        <w:spacing w:line="360" w:lineRule="auto" w:after="0" w:before="0"/>
        <w:ind w:firstLine="480"/>
      </w:pPr>
      <w:r>
        <w:rPr>
          <w:rFonts w:ascii="宋体" w:hAnsi="宋体" w:eastAsia="宋体"/>
          <w:b w:val="0"/>
          <w:sz w:val="24"/>
        </w:rPr>
        <w:t>在测量尺度上，本研究主要采用名义尺度和顺序尺度，少量涉及时长占比、品牌首次出现时间占比等指标时采用比例值记录。通过这一设计，既能保证编码的可操作性，又能与后续描述性统计和交叉分析相匹配。</w:t>
      </w:r>
    </w:p>
    <w:p>
      <w:pPr>
        <w:spacing w:line="360" w:lineRule="auto" w:after="0" w:before="0"/>
        <w:ind w:firstLine="480"/>
      </w:pPr>
      <w:r>
        <w:rPr>
          <w:rFonts w:ascii="宋体" w:hAnsi="宋体" w:eastAsia="宋体"/>
          <w:b w:val="0"/>
          <w:sz w:val="24"/>
        </w:rPr>
        <w:t>为使正式编码更接近多模态研究硕士论文中常见的内容分析写法，本文进一步形成统一编码表，并在正式录入时为每一变量设置对应的变量名、赋值说明和测量尺度，见表4-1。</w:t>
      </w:r>
    </w:p>
    <w:p>
      <w:pPr>
        <w:spacing w:line="360" w:lineRule="auto" w:after="0" w:before="0"/>
        <w:ind w:firstLine="480"/>
      </w:pPr>
      <w:r>
        <w:rPr>
          <w:rFonts w:ascii="宋体" w:hAnsi="宋体" w:eastAsia="宋体"/>
          <w:b w:val="0"/>
          <w:sz w:val="24"/>
        </w:rPr>
        <w:t>表4-1 AIGC品牌视频广告多模态编码变量与赋值说明</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after="0" w:before="0"/>
              <w:ind w:firstLine="0"/>
              <w:jc w:val="center"/>
            </w:pPr>
            <w:r/>
            <w:r>
              <w:rPr>
                <w:rFonts w:ascii="黑体" w:hAnsi="黑体" w:eastAsia="黑体"/>
                <w:b/>
                <w:sz w:val="21"/>
              </w:rPr>
              <w:t>编码层级</w:t>
            </w:r>
          </w:p>
        </w:tc>
        <w:tc>
          <w:tcPr>
            <w:tcW w:type="dxa" w:w="1728"/>
          </w:tcPr>
          <w:p>
            <w:pPr>
              <w:spacing w:line="360" w:lineRule="auto" w:after="0" w:before="0"/>
              <w:ind w:firstLine="0"/>
              <w:jc w:val="center"/>
            </w:pPr>
            <w:r/>
            <w:r>
              <w:rPr>
                <w:rFonts w:ascii="黑体" w:hAnsi="黑体" w:eastAsia="黑体"/>
                <w:b/>
                <w:sz w:val="21"/>
              </w:rPr>
              <w:t>变量名称</w:t>
            </w:r>
          </w:p>
        </w:tc>
        <w:tc>
          <w:tcPr>
            <w:tcW w:type="dxa" w:w="1728"/>
          </w:tcPr>
          <w:p>
            <w:pPr>
              <w:spacing w:line="360" w:lineRule="auto" w:after="0" w:before="0"/>
              <w:ind w:firstLine="0"/>
              <w:jc w:val="center"/>
            </w:pPr>
            <w:r/>
            <w:r>
              <w:rPr>
                <w:rFonts w:ascii="黑体" w:hAnsi="黑体" w:eastAsia="黑体"/>
                <w:b/>
                <w:sz w:val="21"/>
              </w:rPr>
              <w:t>指标说明</w:t>
            </w:r>
          </w:p>
        </w:tc>
        <w:tc>
          <w:tcPr>
            <w:tcW w:type="dxa" w:w="1728"/>
          </w:tcPr>
          <w:p>
            <w:pPr>
              <w:spacing w:line="360" w:lineRule="auto" w:after="0" w:before="0"/>
              <w:ind w:firstLine="0"/>
              <w:jc w:val="center"/>
            </w:pPr>
            <w:r/>
            <w:r>
              <w:rPr>
                <w:rFonts w:ascii="黑体" w:hAnsi="黑体" w:eastAsia="黑体"/>
                <w:b/>
                <w:sz w:val="21"/>
              </w:rPr>
              <w:t>赋值方式</w:t>
            </w:r>
          </w:p>
        </w:tc>
        <w:tc>
          <w:tcPr>
            <w:tcW w:type="dxa" w:w="1728"/>
          </w:tcPr>
          <w:p>
            <w:pPr>
              <w:spacing w:line="360" w:lineRule="auto" w:after="0" w:before="0"/>
              <w:ind w:firstLine="0"/>
              <w:jc w:val="center"/>
            </w:pPr>
            <w:r/>
            <w:r>
              <w:rPr>
                <w:rFonts w:ascii="黑体" w:hAnsi="黑体" w:eastAsia="黑体"/>
                <w:b/>
                <w:sz w:val="21"/>
              </w:rPr>
              <w:t>测量尺度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V1 发布时间</w:t>
            </w:r>
          </w:p>
        </w:tc>
        <w:tc>
          <w:tcPr>
            <w:tcW w:type="dxa" w:w="1728"/>
          </w:tcPr>
          <w:p>
            <w:pPr>
              <w:spacing w:line="360" w:lineRule="auto" w:after="0" w:before="0"/>
              <w:ind w:firstLine="0"/>
              <w:jc w:val="left"/>
            </w:pPr>
            <w:r/>
            <w:r>
              <w:rPr>
                <w:rFonts w:ascii="宋体" w:hAnsi="宋体" w:eastAsia="宋体"/>
                <w:b w:val="0"/>
                <w:sz w:val="21"/>
              </w:rPr>
              <w:t>记录视频首次公开发布时间</w:t>
            </w:r>
          </w:p>
        </w:tc>
        <w:tc>
          <w:tcPr>
            <w:tcW w:type="dxa" w:w="1728"/>
          </w:tcPr>
          <w:p>
            <w:pPr>
              <w:spacing w:line="360" w:lineRule="auto" w:after="0" w:before="0"/>
              <w:ind w:firstLine="0"/>
              <w:jc w:val="left"/>
            </w:pPr>
            <w:r/>
            <w:r>
              <w:rPr>
                <w:rFonts w:ascii="宋体" w:hAnsi="宋体" w:eastAsia="宋体"/>
                <w:b w:val="0"/>
                <w:sz w:val="21"/>
              </w:rPr>
              <w:t>按“年-月-日”录入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V2 传播平台</w:t>
            </w:r>
          </w:p>
        </w:tc>
        <w:tc>
          <w:tcPr>
            <w:tcW w:type="dxa" w:w="1728"/>
          </w:tcPr>
          <w:p>
            <w:pPr>
              <w:spacing w:line="360" w:lineRule="auto" w:after="0" w:before="0"/>
              <w:ind w:firstLine="0"/>
              <w:jc w:val="left"/>
            </w:pPr>
            <w:r/>
            <w:r>
              <w:rPr>
                <w:rFonts w:ascii="宋体" w:hAnsi="宋体" w:eastAsia="宋体"/>
                <w:b w:val="0"/>
                <w:sz w:val="21"/>
              </w:rPr>
              <w:t>识别样本发布或主要传播平台</w:t>
            </w:r>
          </w:p>
        </w:tc>
        <w:tc>
          <w:tcPr>
            <w:tcW w:type="dxa" w:w="1728"/>
          </w:tcPr>
          <w:p>
            <w:pPr>
              <w:spacing w:line="360" w:lineRule="auto" w:after="0" w:before="0"/>
              <w:ind w:firstLine="0"/>
              <w:jc w:val="left"/>
            </w:pPr>
            <w:r/>
            <w:r>
              <w:rPr>
                <w:rFonts w:ascii="宋体" w:hAnsi="宋体" w:eastAsia="宋体"/>
                <w:b w:val="0"/>
                <w:sz w:val="21"/>
              </w:rPr>
              <w:t>抖音/快手/B站/视频号/微博/小红书/品牌官网或电商平台/其他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V3 品牌品类</w:t>
            </w:r>
          </w:p>
        </w:tc>
        <w:tc>
          <w:tcPr>
            <w:tcW w:type="dxa" w:w="1728"/>
          </w:tcPr>
          <w:p>
            <w:pPr>
              <w:spacing w:line="360" w:lineRule="auto" w:after="0" w:before="0"/>
              <w:ind w:firstLine="0"/>
              <w:jc w:val="left"/>
            </w:pPr>
            <w:r/>
            <w:r>
              <w:rPr>
                <w:rFonts w:ascii="宋体" w:hAnsi="宋体" w:eastAsia="宋体"/>
                <w:b w:val="0"/>
                <w:sz w:val="21"/>
              </w:rPr>
              <w:t>识别广告所属行业类别</w:t>
            </w:r>
          </w:p>
        </w:tc>
        <w:tc>
          <w:tcPr>
            <w:tcW w:type="dxa" w:w="1728"/>
          </w:tcPr>
          <w:p>
            <w:pPr>
              <w:spacing w:line="360" w:lineRule="auto" w:after="0" w:before="0"/>
              <w:ind w:firstLine="0"/>
              <w:jc w:val="left"/>
            </w:pPr>
            <w:r/>
            <w:r>
              <w:rPr>
                <w:rFonts w:ascii="宋体" w:hAnsi="宋体" w:eastAsia="宋体"/>
                <w:b w:val="0"/>
                <w:sz w:val="21"/>
              </w:rPr>
              <w:t>美妆个护/食品饮料/汽车/3C数码/文旅文创/互联网服务/家居家电/其他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V4 视频时长</w:t>
            </w:r>
          </w:p>
        </w:tc>
        <w:tc>
          <w:tcPr>
            <w:tcW w:type="dxa" w:w="1728"/>
          </w:tcPr>
          <w:p>
            <w:pPr>
              <w:spacing w:line="360" w:lineRule="auto" w:after="0" w:before="0"/>
              <w:ind w:firstLine="0"/>
              <w:jc w:val="left"/>
            </w:pPr>
            <w:r/>
            <w:r>
              <w:rPr>
                <w:rFonts w:ascii="宋体" w:hAnsi="宋体" w:eastAsia="宋体"/>
                <w:b w:val="0"/>
                <w:sz w:val="21"/>
              </w:rPr>
              <w:t>统计单支广告总时长</w:t>
            </w:r>
          </w:p>
        </w:tc>
        <w:tc>
          <w:tcPr>
            <w:tcW w:type="dxa" w:w="1728"/>
          </w:tcPr>
          <w:p>
            <w:pPr>
              <w:spacing w:line="360" w:lineRule="auto" w:after="0" w:before="0"/>
              <w:ind w:firstLine="0"/>
              <w:jc w:val="left"/>
            </w:pPr>
            <w:r/>
            <w:r>
              <w:rPr>
                <w:rFonts w:ascii="宋体" w:hAnsi="宋体" w:eastAsia="宋体"/>
                <w:b w:val="0"/>
                <w:sz w:val="21"/>
              </w:rPr>
              <w:t>按秒录入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V5 AIGC披露方式</w:t>
            </w:r>
          </w:p>
        </w:tc>
        <w:tc>
          <w:tcPr>
            <w:tcW w:type="dxa" w:w="1728"/>
          </w:tcPr>
          <w:p>
            <w:pPr>
              <w:spacing w:line="360" w:lineRule="auto" w:after="0" w:before="0"/>
              <w:ind w:firstLine="0"/>
              <w:jc w:val="left"/>
            </w:pPr>
            <w:r/>
            <w:r>
              <w:rPr>
                <w:rFonts w:ascii="宋体" w:hAnsi="宋体" w:eastAsia="宋体"/>
                <w:b w:val="0"/>
                <w:sz w:val="21"/>
              </w:rPr>
              <w:t>记录样本中AIGC属性的可核验方式</w:t>
            </w:r>
          </w:p>
        </w:tc>
        <w:tc>
          <w:tcPr>
            <w:tcW w:type="dxa" w:w="1728"/>
          </w:tcPr>
          <w:p>
            <w:pPr>
              <w:spacing w:line="360" w:lineRule="auto" w:after="0" w:before="0"/>
              <w:ind w:firstLine="0"/>
              <w:jc w:val="left"/>
            </w:pPr>
            <w:r/>
            <w:r>
              <w:rPr>
                <w:rFonts w:ascii="宋体" w:hAnsi="宋体" w:eastAsia="宋体"/>
                <w:b w:val="0"/>
                <w:sz w:val="21"/>
              </w:rPr>
              <w:t>明示AIGC/品牌说明或媒体报道证实/无明确披露但可间接判断</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V6 广告目标类型</w:t>
            </w:r>
          </w:p>
        </w:tc>
        <w:tc>
          <w:tcPr>
            <w:tcW w:type="dxa" w:w="1728"/>
          </w:tcPr>
          <w:p>
            <w:pPr>
              <w:spacing w:line="360" w:lineRule="auto" w:after="0" w:before="0"/>
              <w:ind w:firstLine="0"/>
              <w:jc w:val="left"/>
            </w:pPr>
            <w:r/>
            <w:r>
              <w:rPr>
                <w:rFonts w:ascii="宋体" w:hAnsi="宋体" w:eastAsia="宋体"/>
                <w:b w:val="0"/>
                <w:sz w:val="21"/>
              </w:rPr>
              <w:t>判断广告传播的主要目标</w:t>
            </w:r>
          </w:p>
        </w:tc>
        <w:tc>
          <w:tcPr>
            <w:tcW w:type="dxa" w:w="1728"/>
          </w:tcPr>
          <w:p>
            <w:pPr>
              <w:spacing w:line="360" w:lineRule="auto" w:after="0" w:before="0"/>
              <w:ind w:firstLine="0"/>
              <w:jc w:val="left"/>
            </w:pPr>
            <w:r/>
            <w:r>
              <w:rPr>
                <w:rFonts w:ascii="宋体" w:hAnsi="宋体" w:eastAsia="宋体"/>
                <w:b w:val="0"/>
                <w:sz w:val="21"/>
              </w:rPr>
              <w:t>品牌形象传播/产品推广/节日营销/事件传播/综合目标</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V7 诉求导向</w:t>
            </w:r>
          </w:p>
        </w:tc>
        <w:tc>
          <w:tcPr>
            <w:tcW w:type="dxa" w:w="1728"/>
          </w:tcPr>
          <w:p>
            <w:pPr>
              <w:spacing w:line="360" w:lineRule="auto" w:after="0" w:before="0"/>
              <w:ind w:firstLine="0"/>
              <w:jc w:val="left"/>
            </w:pPr>
            <w:r/>
            <w:r>
              <w:rPr>
                <w:rFonts w:ascii="宋体" w:hAnsi="宋体" w:eastAsia="宋体"/>
                <w:b w:val="0"/>
                <w:sz w:val="21"/>
              </w:rPr>
              <w:t>判断广告核心说服路径</w:t>
            </w:r>
          </w:p>
        </w:tc>
        <w:tc>
          <w:tcPr>
            <w:tcW w:type="dxa" w:w="1728"/>
          </w:tcPr>
          <w:p>
            <w:pPr>
              <w:spacing w:line="360" w:lineRule="auto" w:after="0" w:before="0"/>
              <w:ind w:firstLine="0"/>
              <w:jc w:val="left"/>
            </w:pPr>
            <w:r/>
            <w:r>
              <w:rPr>
                <w:rFonts w:ascii="宋体" w:hAnsi="宋体" w:eastAsia="宋体"/>
                <w:b w:val="0"/>
                <w:sz w:val="21"/>
              </w:rPr>
              <w:t>功能诉求/情感诉求/符号诉求/价值诉求/复合诉求</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V8 传播场景</w:t>
            </w:r>
          </w:p>
        </w:tc>
        <w:tc>
          <w:tcPr>
            <w:tcW w:type="dxa" w:w="1728"/>
          </w:tcPr>
          <w:p>
            <w:pPr>
              <w:spacing w:line="360" w:lineRule="auto" w:after="0" w:before="0"/>
              <w:ind w:firstLine="0"/>
              <w:jc w:val="left"/>
            </w:pPr>
            <w:r/>
            <w:r>
              <w:rPr>
                <w:rFonts w:ascii="宋体" w:hAnsi="宋体" w:eastAsia="宋体"/>
                <w:b w:val="0"/>
                <w:sz w:val="21"/>
              </w:rPr>
              <w:t>识别广告主要传播语境</w:t>
            </w:r>
          </w:p>
        </w:tc>
        <w:tc>
          <w:tcPr>
            <w:tcW w:type="dxa" w:w="1728"/>
          </w:tcPr>
          <w:p>
            <w:pPr>
              <w:spacing w:line="360" w:lineRule="auto" w:after="0" w:before="0"/>
              <w:ind w:firstLine="0"/>
              <w:jc w:val="left"/>
            </w:pPr>
            <w:r/>
            <w:r>
              <w:rPr>
                <w:rFonts w:ascii="宋体" w:hAnsi="宋体" w:eastAsia="宋体"/>
                <w:b w:val="0"/>
                <w:sz w:val="21"/>
              </w:rPr>
              <w:t>信息流传播/官方账号发布/电商促销/品牌活动节点/社交裂变/其他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V9 品牌传播重心</w:t>
            </w:r>
          </w:p>
        </w:tc>
        <w:tc>
          <w:tcPr>
            <w:tcW w:type="dxa" w:w="1728"/>
          </w:tcPr>
          <w:p>
            <w:pPr>
              <w:spacing w:line="360" w:lineRule="auto" w:after="0" w:before="0"/>
              <w:ind w:firstLine="0"/>
              <w:jc w:val="left"/>
            </w:pPr>
            <w:r/>
            <w:r>
              <w:rPr>
                <w:rFonts w:ascii="宋体" w:hAnsi="宋体" w:eastAsia="宋体"/>
                <w:b w:val="0"/>
                <w:sz w:val="21"/>
              </w:rPr>
              <w:t>判断广告集中建构的品牌重点</w:t>
            </w:r>
          </w:p>
        </w:tc>
        <w:tc>
          <w:tcPr>
            <w:tcW w:type="dxa" w:w="1728"/>
          </w:tcPr>
          <w:p>
            <w:pPr>
              <w:spacing w:line="360" w:lineRule="auto" w:after="0" w:before="0"/>
              <w:ind w:firstLine="0"/>
              <w:jc w:val="left"/>
            </w:pPr>
            <w:r/>
            <w:r>
              <w:rPr>
                <w:rFonts w:ascii="宋体" w:hAnsi="宋体" w:eastAsia="宋体"/>
                <w:b w:val="0"/>
                <w:sz w:val="21"/>
              </w:rPr>
              <w:t>品牌理念/产品卖点/生活方式/技术创新/社会责任/综合重心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V10 品牌名称显性出现</w:t>
            </w:r>
          </w:p>
        </w:tc>
        <w:tc>
          <w:tcPr>
            <w:tcW w:type="dxa" w:w="1728"/>
          </w:tcPr>
          <w:p>
            <w:pPr>
              <w:spacing w:line="360" w:lineRule="auto" w:after="0" w:before="0"/>
              <w:ind w:firstLine="0"/>
              <w:jc w:val="left"/>
            </w:pPr>
            <w:r/>
            <w:r>
              <w:rPr>
                <w:rFonts w:ascii="宋体" w:hAnsi="宋体" w:eastAsia="宋体"/>
                <w:b w:val="0"/>
                <w:sz w:val="21"/>
              </w:rPr>
              <w:t>判断品牌名称是否以字幕、旁白或画面文字显性出现</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V11 品牌口号或核心文案出现</w:t>
            </w:r>
          </w:p>
        </w:tc>
        <w:tc>
          <w:tcPr>
            <w:tcW w:type="dxa" w:w="1728"/>
          </w:tcPr>
          <w:p>
            <w:pPr>
              <w:spacing w:line="360" w:lineRule="auto" w:after="0" w:before="0"/>
              <w:ind w:firstLine="0"/>
              <w:jc w:val="left"/>
            </w:pPr>
            <w:r/>
            <w:r>
              <w:rPr>
                <w:rFonts w:ascii="宋体" w:hAnsi="宋体" w:eastAsia="宋体"/>
                <w:b w:val="0"/>
                <w:sz w:val="21"/>
              </w:rPr>
              <w:t>判断是否出现稳定口号、主张或核心Slogan</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V12 字幕密度</w:t>
            </w:r>
          </w:p>
        </w:tc>
        <w:tc>
          <w:tcPr>
            <w:tcW w:type="dxa" w:w="1728"/>
          </w:tcPr>
          <w:p>
            <w:pPr>
              <w:spacing w:line="360" w:lineRule="auto" w:after="0" w:before="0"/>
              <w:ind w:firstLine="0"/>
              <w:jc w:val="left"/>
            </w:pPr>
            <w:r/>
            <w:r>
              <w:rPr>
                <w:rFonts w:ascii="宋体" w:hAnsi="宋体" w:eastAsia="宋体"/>
                <w:b w:val="0"/>
                <w:sz w:val="21"/>
              </w:rPr>
              <w:t>判断字幕在全片中的使用频率与覆盖程度</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V13 叙事文本类型</w:t>
            </w:r>
          </w:p>
        </w:tc>
        <w:tc>
          <w:tcPr>
            <w:tcW w:type="dxa" w:w="1728"/>
          </w:tcPr>
          <w:p>
            <w:pPr>
              <w:spacing w:line="360" w:lineRule="auto" w:after="0" w:before="0"/>
              <w:ind w:firstLine="0"/>
              <w:jc w:val="left"/>
            </w:pPr>
            <w:r/>
            <w:r>
              <w:rPr>
                <w:rFonts w:ascii="宋体" w:hAnsi="宋体" w:eastAsia="宋体"/>
                <w:b w:val="0"/>
                <w:sz w:val="21"/>
              </w:rPr>
              <w:t>判断语言模态的主要组织方式</w:t>
            </w:r>
          </w:p>
        </w:tc>
        <w:tc>
          <w:tcPr>
            <w:tcW w:type="dxa" w:w="1728"/>
          </w:tcPr>
          <w:p>
            <w:pPr>
              <w:spacing w:line="360" w:lineRule="auto" w:after="0" w:before="0"/>
              <w:ind w:firstLine="0"/>
              <w:jc w:val="left"/>
            </w:pPr>
            <w:r/>
            <w:r>
              <w:rPr>
                <w:rFonts w:ascii="宋体" w:hAnsi="宋体" w:eastAsia="宋体"/>
                <w:b w:val="0"/>
                <w:sz w:val="21"/>
              </w:rPr>
              <w:t>说明型/故事型/对话型/宣言型/混合型</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V14 情感措辞倾向</w:t>
            </w:r>
          </w:p>
        </w:tc>
        <w:tc>
          <w:tcPr>
            <w:tcW w:type="dxa" w:w="1728"/>
          </w:tcPr>
          <w:p>
            <w:pPr>
              <w:spacing w:line="360" w:lineRule="auto" w:after="0" w:before="0"/>
              <w:ind w:firstLine="0"/>
              <w:jc w:val="left"/>
            </w:pPr>
            <w:r/>
            <w:r>
              <w:rPr>
                <w:rFonts w:ascii="宋体" w:hAnsi="宋体" w:eastAsia="宋体"/>
                <w:b w:val="0"/>
                <w:sz w:val="21"/>
              </w:rPr>
              <w:t>判断文案主要情感风格</w:t>
            </w:r>
          </w:p>
        </w:tc>
        <w:tc>
          <w:tcPr>
            <w:tcW w:type="dxa" w:w="1728"/>
          </w:tcPr>
          <w:p>
            <w:pPr>
              <w:spacing w:line="360" w:lineRule="auto" w:after="0" w:before="0"/>
              <w:ind w:firstLine="0"/>
              <w:jc w:val="left"/>
            </w:pPr>
            <w:r/>
            <w:r>
              <w:rPr>
                <w:rFonts w:ascii="宋体" w:hAnsi="宋体" w:eastAsia="宋体"/>
                <w:b w:val="0"/>
                <w:sz w:val="21"/>
              </w:rPr>
              <w:t>理性克制/温暖治愈/激励热血/幽默轻松/震撼奇观/混合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V15 主导场景类型</w:t>
            </w:r>
          </w:p>
        </w:tc>
        <w:tc>
          <w:tcPr>
            <w:tcW w:type="dxa" w:w="1728"/>
          </w:tcPr>
          <w:p>
            <w:pPr>
              <w:spacing w:line="360" w:lineRule="auto" w:after="0" w:before="0"/>
              <w:ind w:firstLine="0"/>
              <w:jc w:val="left"/>
            </w:pPr>
            <w:r/>
            <w:r>
              <w:rPr>
                <w:rFonts w:ascii="宋体" w:hAnsi="宋体" w:eastAsia="宋体"/>
                <w:b w:val="0"/>
                <w:sz w:val="21"/>
              </w:rPr>
              <w:t>判断广告主要场景资源</w:t>
            </w:r>
          </w:p>
        </w:tc>
        <w:tc>
          <w:tcPr>
            <w:tcW w:type="dxa" w:w="1728"/>
          </w:tcPr>
          <w:p>
            <w:pPr>
              <w:spacing w:line="360" w:lineRule="auto" w:after="0" w:before="0"/>
              <w:ind w:firstLine="0"/>
              <w:jc w:val="left"/>
            </w:pPr>
            <w:r/>
            <w:r>
              <w:rPr>
                <w:rFonts w:ascii="宋体" w:hAnsi="宋体" w:eastAsia="宋体"/>
                <w:b w:val="0"/>
                <w:sz w:val="21"/>
              </w:rPr>
              <w:t>现实生活/产品展示/虚拟奇观/未来科技/混合场景</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V16 主体形象类型</w:t>
            </w:r>
          </w:p>
        </w:tc>
        <w:tc>
          <w:tcPr>
            <w:tcW w:type="dxa" w:w="1728"/>
          </w:tcPr>
          <w:p>
            <w:pPr>
              <w:spacing w:line="360" w:lineRule="auto" w:after="0" w:before="0"/>
              <w:ind w:firstLine="0"/>
              <w:jc w:val="left"/>
            </w:pPr>
            <w:r/>
            <w:r>
              <w:rPr>
                <w:rFonts w:ascii="宋体" w:hAnsi="宋体" w:eastAsia="宋体"/>
                <w:b w:val="0"/>
                <w:sz w:val="21"/>
              </w:rPr>
              <w:t>判断画面中承担叙事中心的主体</w:t>
            </w:r>
          </w:p>
        </w:tc>
        <w:tc>
          <w:tcPr>
            <w:tcW w:type="dxa" w:w="1728"/>
          </w:tcPr>
          <w:p>
            <w:pPr>
              <w:spacing w:line="360" w:lineRule="auto" w:after="0" w:before="0"/>
              <w:ind w:firstLine="0"/>
              <w:jc w:val="left"/>
            </w:pPr>
            <w:r/>
            <w:r>
              <w:rPr>
                <w:rFonts w:ascii="宋体" w:hAnsi="宋体" w:eastAsia="宋体"/>
                <w:b w:val="0"/>
                <w:sz w:val="21"/>
              </w:rPr>
              <w:t>真人人物/拟人化角色/产品主体/品牌符号/混合主体</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V17 色彩基调</w:t>
            </w:r>
          </w:p>
        </w:tc>
        <w:tc>
          <w:tcPr>
            <w:tcW w:type="dxa" w:w="1728"/>
          </w:tcPr>
          <w:p>
            <w:pPr>
              <w:spacing w:line="360" w:lineRule="auto" w:after="0" w:before="0"/>
              <w:ind w:firstLine="0"/>
              <w:jc w:val="left"/>
            </w:pPr>
            <w:r/>
            <w:r>
              <w:rPr>
                <w:rFonts w:ascii="宋体" w:hAnsi="宋体" w:eastAsia="宋体"/>
                <w:b w:val="0"/>
                <w:sz w:val="21"/>
              </w:rPr>
              <w:t>判断画面总体色彩倾向</w:t>
            </w:r>
          </w:p>
        </w:tc>
        <w:tc>
          <w:tcPr>
            <w:tcW w:type="dxa" w:w="1728"/>
          </w:tcPr>
          <w:p>
            <w:pPr>
              <w:spacing w:line="360" w:lineRule="auto" w:after="0" w:before="0"/>
              <w:ind w:firstLine="0"/>
              <w:jc w:val="left"/>
            </w:pPr>
            <w:r/>
            <w:r>
              <w:rPr>
                <w:rFonts w:ascii="宋体" w:hAnsi="宋体" w:eastAsia="宋体"/>
                <w:b w:val="0"/>
                <w:sz w:val="21"/>
              </w:rPr>
              <w:t>暖色主导/冷色主导/高饱和/低饱和/综合色调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V18 镜头节奏</w:t>
            </w:r>
          </w:p>
        </w:tc>
        <w:tc>
          <w:tcPr>
            <w:tcW w:type="dxa" w:w="1728"/>
          </w:tcPr>
          <w:p>
            <w:pPr>
              <w:spacing w:line="360" w:lineRule="auto" w:after="0" w:before="0"/>
              <w:ind w:firstLine="0"/>
              <w:jc w:val="left"/>
            </w:pPr>
            <w:r/>
            <w:r>
              <w:rPr>
                <w:rFonts w:ascii="宋体" w:hAnsi="宋体" w:eastAsia="宋体"/>
                <w:b w:val="0"/>
                <w:sz w:val="21"/>
              </w:rPr>
              <w:t>判断镜头切换速度与节奏强度</w:t>
            </w:r>
          </w:p>
        </w:tc>
        <w:tc>
          <w:tcPr>
            <w:tcW w:type="dxa" w:w="1728"/>
          </w:tcPr>
          <w:p>
            <w:pPr>
              <w:spacing w:line="360" w:lineRule="auto" w:after="0" w:before="0"/>
              <w:ind w:firstLine="0"/>
              <w:jc w:val="left"/>
            </w:pPr>
            <w:r/>
            <w:r>
              <w:rPr>
                <w:rFonts w:ascii="宋体" w:hAnsi="宋体" w:eastAsia="宋体"/>
                <w:b w:val="0"/>
                <w:sz w:val="21"/>
              </w:rPr>
              <w:t>1=慢，2=中，3=快</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V19 品牌标识露出方式</w:t>
            </w:r>
          </w:p>
        </w:tc>
        <w:tc>
          <w:tcPr>
            <w:tcW w:type="dxa" w:w="1728"/>
          </w:tcPr>
          <w:p>
            <w:pPr>
              <w:spacing w:line="360" w:lineRule="auto" w:after="0" w:before="0"/>
              <w:ind w:firstLine="0"/>
              <w:jc w:val="left"/>
            </w:pPr>
            <w:r/>
            <w:r>
              <w:rPr>
                <w:rFonts w:ascii="宋体" w:hAnsi="宋体" w:eastAsia="宋体"/>
                <w:b w:val="0"/>
                <w:sz w:val="21"/>
              </w:rPr>
              <w:t>判断Logo或品牌符号的主要出现方式</w:t>
            </w:r>
          </w:p>
        </w:tc>
        <w:tc>
          <w:tcPr>
            <w:tcW w:type="dxa" w:w="1728"/>
          </w:tcPr>
          <w:p>
            <w:pPr>
              <w:spacing w:line="360" w:lineRule="auto" w:after="0" w:before="0"/>
              <w:ind w:firstLine="0"/>
              <w:jc w:val="left"/>
            </w:pPr>
            <w:r/>
            <w:r>
              <w:rPr>
                <w:rFonts w:ascii="宋体" w:hAnsi="宋体" w:eastAsia="宋体"/>
                <w:b w:val="0"/>
                <w:sz w:val="21"/>
              </w:rPr>
              <w:t>片头露出/片中嵌入/片尾强化/多次重复/无明显露出</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V20 产品露出强度</w:t>
            </w:r>
          </w:p>
        </w:tc>
        <w:tc>
          <w:tcPr>
            <w:tcW w:type="dxa" w:w="1728"/>
          </w:tcPr>
          <w:p>
            <w:pPr>
              <w:spacing w:line="360" w:lineRule="auto" w:after="0" w:before="0"/>
              <w:ind w:firstLine="0"/>
              <w:jc w:val="left"/>
            </w:pPr>
            <w:r/>
            <w:r>
              <w:rPr>
                <w:rFonts w:ascii="宋体" w:hAnsi="宋体" w:eastAsia="宋体"/>
                <w:b w:val="0"/>
                <w:sz w:val="21"/>
              </w:rPr>
              <w:t>判断产品在画面中的突出程度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V21 AIGC奇观化程度</w:t>
            </w:r>
          </w:p>
        </w:tc>
        <w:tc>
          <w:tcPr>
            <w:tcW w:type="dxa" w:w="1728"/>
          </w:tcPr>
          <w:p>
            <w:pPr>
              <w:spacing w:line="360" w:lineRule="auto" w:after="0" w:before="0"/>
              <w:ind w:firstLine="0"/>
              <w:jc w:val="left"/>
            </w:pPr>
            <w:r/>
            <w:r>
              <w:rPr>
                <w:rFonts w:ascii="宋体" w:hAnsi="宋体" w:eastAsia="宋体"/>
                <w:b w:val="0"/>
                <w:sz w:val="21"/>
              </w:rPr>
              <w:t>判断画面是否突出超现实生成效果</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V22 品牌首次出现时间占比</w:t>
            </w:r>
          </w:p>
        </w:tc>
        <w:tc>
          <w:tcPr>
            <w:tcW w:type="dxa" w:w="1728"/>
          </w:tcPr>
          <w:p>
            <w:pPr>
              <w:spacing w:line="360" w:lineRule="auto" w:after="0" w:before="0"/>
              <w:ind w:firstLine="0"/>
              <w:jc w:val="left"/>
            </w:pPr>
            <w:r/>
            <w:r>
              <w:rPr>
                <w:rFonts w:ascii="宋体" w:hAnsi="宋体" w:eastAsia="宋体"/>
                <w:b w:val="0"/>
                <w:sz w:val="21"/>
              </w:rPr>
              <w:t>记录品牌名称、Logo或核心产品首次出现时间占全片时长的比例</w:t>
            </w:r>
          </w:p>
        </w:tc>
        <w:tc>
          <w:tcPr>
            <w:tcW w:type="dxa" w:w="1728"/>
          </w:tcPr>
          <w:p>
            <w:pPr>
              <w:spacing w:line="360" w:lineRule="auto" w:after="0" w:before="0"/>
              <w:ind w:firstLine="0"/>
              <w:jc w:val="left"/>
            </w:pPr>
            <w:r/>
            <w:r>
              <w:rPr>
                <w:rFonts w:ascii="宋体" w:hAnsi="宋体" w:eastAsia="宋体"/>
                <w:b w:val="0"/>
                <w:sz w:val="21"/>
              </w:rPr>
              <w:t>按“首次出现秒数/总时长”计算</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V23 人声类型</w:t>
            </w:r>
          </w:p>
        </w:tc>
        <w:tc>
          <w:tcPr>
            <w:tcW w:type="dxa" w:w="1728"/>
          </w:tcPr>
          <w:p>
            <w:pPr>
              <w:spacing w:line="360" w:lineRule="auto" w:after="0" w:before="0"/>
              <w:ind w:firstLine="0"/>
              <w:jc w:val="left"/>
            </w:pPr>
            <w:r/>
            <w:r>
              <w:rPr>
                <w:rFonts w:ascii="宋体" w:hAnsi="宋体" w:eastAsia="宋体"/>
                <w:b w:val="0"/>
                <w:sz w:val="21"/>
              </w:rPr>
              <w:t>判断主要发声主体类型</w:t>
            </w:r>
          </w:p>
        </w:tc>
        <w:tc>
          <w:tcPr>
            <w:tcW w:type="dxa" w:w="1728"/>
          </w:tcPr>
          <w:p>
            <w:pPr>
              <w:spacing w:line="360" w:lineRule="auto" w:after="0" w:before="0"/>
              <w:ind w:firstLine="0"/>
              <w:jc w:val="left"/>
            </w:pPr>
            <w:r/>
            <w:r>
              <w:rPr>
                <w:rFonts w:ascii="宋体" w:hAnsi="宋体" w:eastAsia="宋体"/>
                <w:b w:val="0"/>
                <w:sz w:val="21"/>
              </w:rPr>
              <w:t>男声/女声/童声/AI合成音/无人声/混合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V24 音乐风格</w:t>
            </w:r>
          </w:p>
        </w:tc>
        <w:tc>
          <w:tcPr>
            <w:tcW w:type="dxa" w:w="1728"/>
          </w:tcPr>
          <w:p>
            <w:pPr>
              <w:spacing w:line="360" w:lineRule="auto" w:after="0" w:before="0"/>
              <w:ind w:firstLine="0"/>
              <w:jc w:val="left"/>
            </w:pPr>
            <w:r/>
            <w:r>
              <w:rPr>
                <w:rFonts w:ascii="宋体" w:hAnsi="宋体" w:eastAsia="宋体"/>
                <w:b w:val="0"/>
                <w:sz w:val="21"/>
              </w:rPr>
              <w:t>判断背景音乐的主要风格</w:t>
            </w:r>
          </w:p>
        </w:tc>
        <w:tc>
          <w:tcPr>
            <w:tcW w:type="dxa" w:w="1728"/>
          </w:tcPr>
          <w:p>
            <w:pPr>
              <w:spacing w:line="360" w:lineRule="auto" w:after="0" w:before="0"/>
              <w:ind w:firstLine="0"/>
              <w:jc w:val="left"/>
            </w:pPr>
            <w:r/>
            <w:r>
              <w:rPr>
                <w:rFonts w:ascii="宋体" w:hAnsi="宋体" w:eastAsia="宋体"/>
                <w:b w:val="0"/>
                <w:sz w:val="21"/>
              </w:rPr>
              <w:t>电子科技/抒情温和/节奏轻快/宏大史诗/无配乐/其他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V25 音效使用强度</w:t>
            </w:r>
          </w:p>
        </w:tc>
        <w:tc>
          <w:tcPr>
            <w:tcW w:type="dxa" w:w="1728"/>
          </w:tcPr>
          <w:p>
            <w:pPr>
              <w:spacing w:line="360" w:lineRule="auto" w:after="0" w:before="0"/>
              <w:ind w:firstLine="0"/>
              <w:jc w:val="left"/>
            </w:pPr>
            <w:r/>
            <w:r>
              <w:rPr>
                <w:rFonts w:ascii="宋体" w:hAnsi="宋体" w:eastAsia="宋体"/>
                <w:b w:val="0"/>
                <w:sz w:val="21"/>
              </w:rPr>
              <w:t>判断音效对画面推进的参与程度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V26 声音节奏特征</w:t>
            </w:r>
          </w:p>
        </w:tc>
        <w:tc>
          <w:tcPr>
            <w:tcW w:type="dxa" w:w="1728"/>
          </w:tcPr>
          <w:p>
            <w:pPr>
              <w:spacing w:line="360" w:lineRule="auto" w:after="0" w:before="0"/>
              <w:ind w:firstLine="0"/>
              <w:jc w:val="left"/>
            </w:pPr>
            <w:r/>
            <w:r>
              <w:rPr>
                <w:rFonts w:ascii="宋体" w:hAnsi="宋体" w:eastAsia="宋体"/>
                <w:b w:val="0"/>
                <w:sz w:val="21"/>
              </w:rPr>
              <w:t>判断整体听觉节奏的紧凑程度</w:t>
            </w:r>
          </w:p>
        </w:tc>
        <w:tc>
          <w:tcPr>
            <w:tcW w:type="dxa" w:w="1728"/>
          </w:tcPr>
          <w:p>
            <w:pPr>
              <w:spacing w:line="360" w:lineRule="auto" w:after="0" w:before="0"/>
              <w:ind w:firstLine="0"/>
              <w:jc w:val="left"/>
            </w:pPr>
            <w:r/>
            <w:r>
              <w:rPr>
                <w:rFonts w:ascii="宋体" w:hAnsi="宋体" w:eastAsia="宋体"/>
                <w:b w:val="0"/>
                <w:sz w:val="21"/>
              </w:rPr>
              <w:t>1=舒缓，2=均衡，3=强刺激</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V27 功能形象突出程度</w:t>
            </w:r>
          </w:p>
        </w:tc>
        <w:tc>
          <w:tcPr>
            <w:tcW w:type="dxa" w:w="1728"/>
          </w:tcPr>
          <w:p>
            <w:pPr>
              <w:spacing w:line="360" w:lineRule="auto" w:after="0" w:before="0"/>
              <w:ind w:firstLine="0"/>
              <w:jc w:val="left"/>
            </w:pPr>
            <w:r/>
            <w:r>
              <w:rPr>
                <w:rFonts w:ascii="宋体" w:hAnsi="宋体" w:eastAsia="宋体"/>
                <w:b w:val="0"/>
                <w:sz w:val="21"/>
              </w:rPr>
              <w:t>判断广告是否突出性能、功效或使用价值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V28 情感形象突出程度</w:t>
            </w:r>
          </w:p>
        </w:tc>
        <w:tc>
          <w:tcPr>
            <w:tcW w:type="dxa" w:w="1728"/>
          </w:tcPr>
          <w:p>
            <w:pPr>
              <w:spacing w:line="360" w:lineRule="auto" w:after="0" w:before="0"/>
              <w:ind w:firstLine="0"/>
              <w:jc w:val="left"/>
            </w:pPr>
            <w:r/>
            <w:r>
              <w:rPr>
                <w:rFonts w:ascii="宋体" w:hAnsi="宋体" w:eastAsia="宋体"/>
                <w:b w:val="0"/>
                <w:sz w:val="21"/>
              </w:rPr>
              <w:t>判断广告是否突出情绪共鸣、陪伴或治愈属性</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V29 符号形象突出程度</w:t>
            </w:r>
          </w:p>
        </w:tc>
        <w:tc>
          <w:tcPr>
            <w:tcW w:type="dxa" w:w="1728"/>
          </w:tcPr>
          <w:p>
            <w:pPr>
              <w:spacing w:line="360" w:lineRule="auto" w:after="0" w:before="0"/>
              <w:ind w:firstLine="0"/>
              <w:jc w:val="left"/>
            </w:pPr>
            <w:r/>
            <w:r>
              <w:rPr>
                <w:rFonts w:ascii="宋体" w:hAnsi="宋体" w:eastAsia="宋体"/>
                <w:b w:val="0"/>
                <w:sz w:val="21"/>
              </w:rPr>
              <w:t>判断广告是否突出身份象征、审美风格或文化符号</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V30 价值形象突出程度</w:t>
            </w:r>
          </w:p>
        </w:tc>
        <w:tc>
          <w:tcPr>
            <w:tcW w:type="dxa" w:w="1728"/>
          </w:tcPr>
          <w:p>
            <w:pPr>
              <w:spacing w:line="360" w:lineRule="auto" w:after="0" w:before="0"/>
              <w:ind w:firstLine="0"/>
              <w:jc w:val="left"/>
            </w:pPr>
            <w:r/>
            <w:r>
              <w:rPr>
                <w:rFonts w:ascii="宋体" w:hAnsi="宋体" w:eastAsia="宋体"/>
                <w:b w:val="0"/>
                <w:sz w:val="21"/>
              </w:rPr>
              <w:t>判断广告是否突出责任、理念、可持续或社会价值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V31 语言-视觉关系</w:t>
            </w:r>
          </w:p>
        </w:tc>
        <w:tc>
          <w:tcPr>
            <w:tcW w:type="dxa" w:w="1728"/>
          </w:tcPr>
          <w:p>
            <w:pPr>
              <w:spacing w:line="360" w:lineRule="auto" w:after="0" w:before="0"/>
              <w:ind w:firstLine="0"/>
              <w:jc w:val="left"/>
            </w:pPr>
            <w:r/>
            <w:r>
              <w:rPr>
                <w:rFonts w:ascii="宋体" w:hAnsi="宋体" w:eastAsia="宋体"/>
                <w:b w:val="0"/>
                <w:sz w:val="21"/>
              </w:rPr>
              <w:t>判断语言信息与视觉信息的对应关系</w:t>
            </w:r>
          </w:p>
        </w:tc>
        <w:tc>
          <w:tcPr>
            <w:tcW w:type="dxa" w:w="1728"/>
          </w:tcPr>
          <w:p>
            <w:pPr>
              <w:spacing w:line="360" w:lineRule="auto" w:after="0" w:before="0"/>
              <w:ind w:firstLine="0"/>
              <w:jc w:val="left"/>
            </w:pPr>
            <w:r/>
            <w:r>
              <w:rPr>
                <w:rFonts w:ascii="宋体" w:hAnsi="宋体" w:eastAsia="宋体"/>
                <w:b w:val="0"/>
                <w:sz w:val="21"/>
              </w:rPr>
              <w:t>强化/互补/解释/弱关联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V32 视觉-听觉关系</w:t>
            </w:r>
          </w:p>
        </w:tc>
        <w:tc>
          <w:tcPr>
            <w:tcW w:type="dxa" w:w="1728"/>
          </w:tcPr>
          <w:p>
            <w:pPr>
              <w:spacing w:line="360" w:lineRule="auto" w:after="0" w:before="0"/>
              <w:ind w:firstLine="0"/>
              <w:jc w:val="left"/>
            </w:pPr>
            <w:r/>
            <w:r>
              <w:rPr>
                <w:rFonts w:ascii="宋体" w:hAnsi="宋体" w:eastAsia="宋体"/>
                <w:b w:val="0"/>
                <w:sz w:val="21"/>
              </w:rPr>
              <w:t>判断画面与声音之间的协同方式</w:t>
            </w:r>
          </w:p>
        </w:tc>
        <w:tc>
          <w:tcPr>
            <w:tcW w:type="dxa" w:w="1728"/>
          </w:tcPr>
          <w:p>
            <w:pPr>
              <w:spacing w:line="360" w:lineRule="auto" w:after="0" w:before="0"/>
              <w:ind w:firstLine="0"/>
              <w:jc w:val="left"/>
            </w:pPr>
            <w:r/>
            <w:r>
              <w:rPr>
                <w:rFonts w:ascii="宋体" w:hAnsi="宋体" w:eastAsia="宋体"/>
                <w:b w:val="0"/>
                <w:sz w:val="21"/>
              </w:rPr>
              <w:t>强化/互补/渲染/弱关联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V33 语言-听觉关系</w:t>
            </w:r>
          </w:p>
        </w:tc>
        <w:tc>
          <w:tcPr>
            <w:tcW w:type="dxa" w:w="1728"/>
          </w:tcPr>
          <w:p>
            <w:pPr>
              <w:spacing w:line="360" w:lineRule="auto" w:after="0" w:before="0"/>
              <w:ind w:firstLine="0"/>
              <w:jc w:val="left"/>
            </w:pPr>
            <w:r/>
            <w:r>
              <w:rPr>
                <w:rFonts w:ascii="宋体" w:hAnsi="宋体" w:eastAsia="宋体"/>
                <w:b w:val="0"/>
                <w:sz w:val="21"/>
              </w:rPr>
              <w:t>判断文案、旁白与声音氛围的匹配程度</w:t>
            </w:r>
          </w:p>
        </w:tc>
        <w:tc>
          <w:tcPr>
            <w:tcW w:type="dxa" w:w="1728"/>
          </w:tcPr>
          <w:p>
            <w:pPr>
              <w:spacing w:line="360" w:lineRule="auto" w:after="0" w:before="0"/>
              <w:ind w:firstLine="0"/>
              <w:jc w:val="left"/>
            </w:pPr>
            <w:r/>
            <w:r>
              <w:rPr>
                <w:rFonts w:ascii="宋体" w:hAnsi="宋体" w:eastAsia="宋体"/>
                <w:b w:val="0"/>
                <w:sz w:val="21"/>
              </w:rPr>
              <w:t>强化/互补/反差/弱关联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V34 整体模态协调度</w:t>
            </w:r>
          </w:p>
        </w:tc>
        <w:tc>
          <w:tcPr>
            <w:tcW w:type="dxa" w:w="1728"/>
          </w:tcPr>
          <w:p>
            <w:pPr>
              <w:spacing w:line="360" w:lineRule="auto" w:after="0" w:before="0"/>
              <w:ind w:firstLine="0"/>
              <w:jc w:val="left"/>
            </w:pPr>
            <w:r/>
            <w:r>
              <w:rPr>
                <w:rFonts w:ascii="宋体" w:hAnsi="宋体" w:eastAsia="宋体"/>
                <w:b w:val="0"/>
                <w:sz w:val="21"/>
              </w:rPr>
              <w:t>综合判断多模态资源的整体一致性与连贯性</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bl>
    <w:p>
      <w:pPr>
        <w:spacing w:line="360" w:lineRule="auto" w:after="0" w:before="0"/>
        <w:ind w:firstLine="480"/>
      </w:pPr>
      <w:r>
        <w:rPr>
          <w:rFonts w:ascii="宋体" w:hAnsi="宋体" w:eastAsia="宋体"/>
          <w:b w:val="0"/>
          <w:sz w:val="24"/>
        </w:rPr>
        <w:t>正式编码时，每一变量均设置统一变量名与赋值规则；如遇信息缺失或样本中无法判断的情况，统一记为缺失值并在统计阶段单独处理。对同时具备多重特征的样本，优先依据主导模态、出现频率最高的特征或品牌传播重心进行赋值，并在预编码阶段进一步细化判准，以提高编码一致性。对表达层和模态关系层变量而言，片段层记录仅作为判断依据，正式统计时均回收到视频层变量，再对全部样本进行频数、占比和交叉分析。</w:t>
      </w:r>
    </w:p>
    <w:p>
      <w:pPr>
        <w:pStyle w:val="Heading2"/>
        <w:spacing w:before="120" w:after="60" w:line="360" w:lineRule="auto"/>
      </w:pPr>
      <w:r>
        <w:rPr>
          <w:rFonts w:ascii="黑体" w:hAnsi="黑体" w:eastAsia="黑体"/>
          <w:b/>
          <w:sz w:val="24"/>
        </w:rPr>
        <w:t>4.6 研究实施步骤与质量控制</w:t>
      </w:r>
    </w:p>
    <w:p>
      <w:pPr>
        <w:spacing w:line="360" w:lineRule="auto" w:after="0" w:before="0"/>
        <w:ind w:firstLine="480"/>
      </w:pPr>
      <w:r>
        <w:rPr>
          <w:rFonts w:ascii="宋体" w:hAnsi="宋体" w:eastAsia="宋体"/>
          <w:b w:val="0"/>
          <w:sz w:val="24"/>
        </w:rPr>
        <w:t>本研究拟分五步实施。第一步，建立样本候选池并完成样本筛选，为每个案例整理品牌属性、发布时间、传播平台和AIGC可核验依据。第二步，制作编码表并进行预编码，随机抽取部分样本测试编码维度是否清晰、是否存在变量重叠或无法判断的情况。第三步，根据预编码结果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比分析和交叉分析。第五步，在统计结果基础上选取代表性案例进行补充解释，总结AIGC品牌视频广告的主要建构策略和常见问题。</w:t>
      </w:r>
    </w:p>
    <w:p>
      <w:pPr>
        <w:spacing w:line="360" w:lineRule="auto" w:after="0" w:before="0"/>
        <w:ind w:firstLine="480"/>
      </w:pPr>
      <w:r>
        <w:rPr>
          <w:rFonts w:ascii="宋体" w:hAnsi="宋体" w:eastAsia="宋体"/>
          <w:b w:val="0"/>
          <w:sz w:val="24"/>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发现低一致变量则返回修订编码规则；三是所有统计结果均回到原始视频文本进行核对，避免因编码简化而扭曲文本意义；四是对研究结论坚持描述性和解释性边界，不把非概率样本的统计分布直接写成总体规律，也不把相关分布直接上升为因果机制。</w:t>
      </w:r>
    </w:p>
    <w:p>
      <w:pPr>
        <w:pStyle w:val="Heading1"/>
        <w:spacing w:before="120" w:after="60" w:line="360" w:lineRule="auto"/>
      </w:pPr>
      <w:r>
        <w:rPr>
          <w:rFonts w:ascii="黑体" w:hAnsi="黑体" w:eastAsia="黑体"/>
          <w:b/>
          <w:sz w:val="28"/>
        </w:rPr>
        <w:t>五、目前工作进展情况、存在问题及解决的方法和措施</w:t>
      </w:r>
    </w:p>
    <w:p>
      <w:pPr>
        <w:pStyle w:val="Heading2"/>
        <w:spacing w:before="120" w:after="60" w:line="360" w:lineRule="auto"/>
      </w:pPr>
      <w:r>
        <w:rPr>
          <w:rFonts w:ascii="黑体" w:hAnsi="黑体" w:eastAsia="黑体"/>
          <w:b/>
          <w:sz w:val="24"/>
        </w:rPr>
        <w:t>5.1 目前工作进展情况</w:t>
      </w:r>
    </w:p>
    <w:p>
      <w:pPr>
        <w:spacing w:line="360" w:lineRule="auto" w:after="0" w:before="0"/>
        <w:ind w:firstLine="480"/>
      </w:pPr>
      <w:r>
        <w:rPr>
          <w:rFonts w:ascii="宋体" w:hAnsi="宋体" w:eastAsia="宋体"/>
          <w:b w:val="0"/>
          <w:sz w:val="24"/>
        </w:rPr>
        <w:t>现阶段，本课题已经完成三项基础工作。第一，研究选题已完成聚焦，明确将研究对象限定为AIGC品牌视频广告，而不再采用人工广告与AIGC广告的双对象比较设计。第二，文献链条已完成初步梳理，基本形成“多模态话语分析理论与应用—视频广告与品牌形象建构—AIGC视频广告—研究缺口”的综述框架。第三，已开始参考多模态硕士论文的研究设计，初步提炼出适用于本研究的样本筛选原则、编码维度和量化分析路径。</w:t>
      </w:r>
    </w:p>
    <w:p>
      <w:pPr>
        <w:pStyle w:val="Heading2"/>
        <w:spacing w:before="120" w:after="60" w:line="360" w:lineRule="auto"/>
      </w:pPr>
      <w:r>
        <w:rPr>
          <w:rFonts w:ascii="黑体" w:hAnsi="黑体" w:eastAsia="黑体"/>
          <w:b/>
          <w:sz w:val="24"/>
        </w:rPr>
        <w:t>5.2 当前存在的主要问题</w:t>
      </w:r>
    </w:p>
    <w:p>
      <w:pPr>
        <w:spacing w:line="360" w:lineRule="auto" w:after="0" w:before="0"/>
        <w:ind w:firstLine="480"/>
      </w:pPr>
      <w:r>
        <w:rPr>
          <w:rFonts w:ascii="宋体" w:hAnsi="宋体" w:eastAsia="宋体"/>
          <w:b w:val="0"/>
          <w:sz w:val="24"/>
        </w:rPr>
        <w:t>5.2.1 品牌形象相关文献仍需进一步补充</w:t>
      </w:r>
    </w:p>
    <w:p>
      <w:pPr>
        <w:spacing w:line="360" w:lineRule="auto" w:after="0" w:before="0"/>
        <w:ind w:firstLine="480"/>
      </w:pPr>
      <w:r>
        <w:rPr>
          <w:rFonts w:ascii="宋体" w:hAnsi="宋体" w:eastAsia="宋体"/>
          <w:b w:val="0"/>
          <w:sz w:val="24"/>
        </w:rPr>
        <w:t>目前关于AIGC广告应用与效果的文献相对较多，但与品牌形象建构直接相关的经典研究和可用于细化分析维度的成果仍需继续补充，以增强理论支撑的完整性。</w:t>
      </w:r>
    </w:p>
    <w:p>
      <w:pPr>
        <w:spacing w:line="360" w:lineRule="auto" w:after="0" w:before="0"/>
        <w:ind w:firstLine="480"/>
      </w:pPr>
      <w:r>
        <w:rPr>
          <w:rFonts w:ascii="宋体" w:hAnsi="宋体" w:eastAsia="宋体"/>
          <w:b w:val="0"/>
          <w:sz w:val="24"/>
        </w:rPr>
        <w:t>5.2.2 样本边界与编码规则仍需进一步细化</w:t>
      </w:r>
    </w:p>
    <w:p>
      <w:pPr>
        <w:spacing w:line="360" w:lineRule="auto" w:after="0" w:before="0"/>
        <w:ind w:firstLine="480"/>
      </w:pPr>
      <w:r>
        <w:rPr>
          <w:rFonts w:ascii="宋体" w:hAnsi="宋体" w:eastAsia="宋体"/>
          <w:b w:val="0"/>
          <w:sz w:val="24"/>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pPr>
        <w:spacing w:line="360" w:lineRule="auto" w:after="0" w:before="0"/>
        <w:ind w:firstLine="480"/>
      </w:pPr>
      <w:r>
        <w:rPr>
          <w:rFonts w:ascii="宋体" w:hAnsi="宋体" w:eastAsia="宋体"/>
          <w:b w:val="0"/>
          <w:sz w:val="24"/>
        </w:rPr>
        <w:t>5.2.3 量化编码存在信度控制与过度简化风险</w:t>
      </w:r>
    </w:p>
    <w:p>
      <w:pPr>
        <w:spacing w:line="360" w:lineRule="auto" w:after="0" w:before="0"/>
        <w:ind w:firstLine="480"/>
      </w:pPr>
      <w:r>
        <w:rPr>
          <w:rFonts w:ascii="宋体" w:hAnsi="宋体" w:eastAsia="宋体"/>
          <w:b w:val="0"/>
          <w:sz w:val="24"/>
        </w:rPr>
        <w:t>量化编码有助于提高研究的系统性，但若编码维度界定不清、不同编码者判断标准不一致，容易影响结果稳定性；同时，若过度依赖数字分布，也可能削弱对广告文本细节和品牌意义的解释力。</w:t>
      </w:r>
    </w:p>
    <w:p>
      <w:pPr>
        <w:pStyle w:val="Heading2"/>
        <w:spacing w:before="120" w:after="60" w:line="360" w:lineRule="auto"/>
      </w:pPr>
      <w:r>
        <w:rPr>
          <w:rFonts w:ascii="黑体" w:hAnsi="黑体" w:eastAsia="黑体"/>
          <w:b/>
          <w:sz w:val="24"/>
        </w:rPr>
        <w:t>5.3 解决的方法和措施</w:t>
      </w:r>
    </w:p>
    <w:p>
      <w:pPr>
        <w:spacing w:line="360" w:lineRule="auto" w:after="0" w:before="0"/>
        <w:ind w:firstLine="480"/>
      </w:pPr>
      <w:r>
        <w:rPr>
          <w:rFonts w:ascii="宋体" w:hAnsi="宋体" w:eastAsia="宋体"/>
          <w:b w:val="0"/>
          <w:sz w:val="24"/>
        </w:rPr>
        <w:t>5.3.1 继续补充品牌形象与视频广告研究文献</w:t>
      </w:r>
    </w:p>
    <w:p>
      <w:pPr>
        <w:spacing w:line="360" w:lineRule="auto" w:after="0" w:before="0"/>
        <w:ind w:firstLine="480"/>
      </w:pPr>
      <w:r>
        <w:rPr>
          <w:rFonts w:ascii="宋体" w:hAnsi="宋体" w:eastAsia="宋体"/>
          <w:b w:val="0"/>
          <w:sz w:val="24"/>
        </w:rPr>
        <w:t>后续将围绕品牌形象维度、视频广告叙事、品牌符号表达与多模态传播等主题继续补充文献，并在已有AIGC研究基础上形成更完整的综述结构。</w:t>
      </w:r>
    </w:p>
    <w:p>
      <w:pPr>
        <w:spacing w:line="360" w:lineRule="auto" w:after="0" w:before="0"/>
        <w:ind w:firstLine="480"/>
      </w:pPr>
      <w:r>
        <w:rPr>
          <w:rFonts w:ascii="宋体" w:hAnsi="宋体" w:eastAsia="宋体"/>
          <w:b w:val="0"/>
          <w:sz w:val="24"/>
        </w:rPr>
        <w:t>5.3.2 明确样本纳入规则并完善编码手册</w:t>
      </w:r>
    </w:p>
    <w:p>
      <w:pPr>
        <w:spacing w:line="360" w:lineRule="auto" w:after="0" w:before="0"/>
        <w:ind w:firstLine="480"/>
      </w:pPr>
      <w:r>
        <w:rPr>
          <w:rFonts w:ascii="宋体" w:hAnsi="宋体" w:eastAsia="宋体"/>
          <w:b w:val="0"/>
          <w:sz w:val="24"/>
        </w:rPr>
        <w:t>对每个候选案例记录品牌属性、发布时间、传播平台、AIGC可核验说明和文本完整度，对界定模糊的案例采取从严处理。同时，在正式编码前对各变量给出操作性定义、赋值规则和判断示例，降低编码歧义。</w:t>
      </w:r>
    </w:p>
    <w:p>
      <w:pPr>
        <w:spacing w:line="360" w:lineRule="auto" w:after="0" w:before="0"/>
        <w:ind w:firstLine="480"/>
      </w:pPr>
      <w:r>
        <w:rPr>
          <w:rFonts w:ascii="宋体" w:hAnsi="宋体" w:eastAsia="宋体"/>
          <w:b w:val="0"/>
          <w:sz w:val="24"/>
        </w:rPr>
        <w:t>5.3.3 通过预编码和复编码控制信度与解释边界</w:t>
      </w:r>
    </w:p>
    <w:p>
      <w:pPr>
        <w:spacing w:line="360" w:lineRule="auto" w:after="0" w:before="0"/>
        <w:ind w:firstLine="480"/>
      </w:pPr>
      <w:r>
        <w:rPr>
          <w:rFonts w:ascii="宋体" w:hAnsi="宋体" w:eastAsia="宋体"/>
          <w:b w:val="0"/>
          <w:sz w:val="24"/>
        </w:rPr>
        <w:t>在正式编码前先进行预编码，根据问题调整变量设置；正式编码阶段对部分样本实施双人复编码并进行一致性检验。对于量化结果无法充分解释的部分，再回到典型案例作补充分析；在涉及技术机制解释时，采用审慎措辞，避免把统计分布直接写成确定因果。</w:t>
      </w:r>
    </w:p>
    <w:p>
      <w:pPr>
        <w:pStyle w:val="Heading1"/>
        <w:spacing w:before="120" w:after="60" w:line="360" w:lineRule="auto"/>
      </w:pPr>
      <w:r>
        <w:rPr>
          <w:rFonts w:ascii="黑体" w:hAnsi="黑体" w:eastAsia="黑体"/>
          <w:b/>
          <w:sz w:val="28"/>
        </w:rPr>
        <w:t>六、完成论文时间及预期结果</w:t>
      </w:r>
    </w:p>
    <w:p>
      <w:pPr>
        <w:pStyle w:val="Heading2"/>
        <w:spacing w:before="120" w:after="60" w:line="360" w:lineRule="auto"/>
      </w:pPr>
      <w:r>
        <w:rPr>
          <w:rFonts w:ascii="黑体" w:hAnsi="黑体" w:eastAsia="黑体"/>
          <w:b/>
          <w:sz w:val="24"/>
        </w:rPr>
        <w:t>6.1 完成论文的时间安排</w:t>
      </w:r>
    </w:p>
    <w:p>
      <w:pPr>
        <w:spacing w:line="360" w:lineRule="auto" w:after="0" w:before="0"/>
        <w:ind w:firstLine="480"/>
      </w:pPr>
      <w:r>
        <w:rPr>
          <w:rFonts w:ascii="宋体" w:hAnsi="宋体" w:eastAsia="宋体"/>
          <w:b w:val="0"/>
          <w:sz w:val="24"/>
        </w:rPr>
        <w:t>2026年6月下旬至2026年7月：进一步完善开题报告，补充文献综述，完成核心概念界定与案例候选池整理。</w:t>
      </w:r>
    </w:p>
    <w:p>
      <w:pPr>
        <w:spacing w:line="360" w:lineRule="auto" w:after="0" w:before="0"/>
        <w:ind w:firstLine="480"/>
      </w:pPr>
      <w:r>
        <w:rPr>
          <w:rFonts w:ascii="宋体" w:hAnsi="宋体" w:eastAsia="宋体"/>
          <w:b w:val="0"/>
          <w:sz w:val="24"/>
        </w:rPr>
        <w:t>2026年8月至2026年9月：确定正式样本，完成样本库整理、预编码和正式编码手册修订。</w:t>
      </w:r>
    </w:p>
    <w:p>
      <w:pPr>
        <w:spacing w:line="360" w:lineRule="auto" w:after="0" w:before="0"/>
        <w:ind w:firstLine="480"/>
      </w:pPr>
      <w:r>
        <w:rPr>
          <w:rFonts w:ascii="宋体" w:hAnsi="宋体" w:eastAsia="宋体"/>
          <w:b w:val="0"/>
          <w:sz w:val="24"/>
        </w:rPr>
        <w:t>2026年10月至2026年11月：开展正式编码、统计分析和典型案例回看，初步归纳品牌形象建构策略。</w:t>
      </w:r>
    </w:p>
    <w:p>
      <w:pPr>
        <w:spacing w:line="360" w:lineRule="auto" w:after="0" w:before="0"/>
        <w:ind w:firstLine="480"/>
      </w:pPr>
      <w:r>
        <w:rPr>
          <w:rFonts w:ascii="宋体" w:hAnsi="宋体" w:eastAsia="宋体"/>
          <w:b w:val="0"/>
          <w:sz w:val="24"/>
        </w:rPr>
        <w:t>2026年12月至2027年2月：完成论文主体写作，整合文献综述、研究设计、编码结果、案例解释与策略总结。</w:t>
      </w:r>
    </w:p>
    <w:p>
      <w:pPr>
        <w:spacing w:line="360" w:lineRule="auto" w:after="0" w:before="0"/>
        <w:ind w:firstLine="480"/>
      </w:pPr>
      <w:r>
        <w:rPr>
          <w:rFonts w:ascii="宋体" w:hAnsi="宋体" w:eastAsia="宋体"/>
          <w:b w:val="0"/>
          <w:sz w:val="24"/>
        </w:rPr>
        <w:t>2027年3月：根据指导意见修改完善，完成定稿、格式统一与参考文献核校。</w:t>
      </w:r>
    </w:p>
    <w:p>
      <w:pPr>
        <w:pStyle w:val="Heading2"/>
        <w:spacing w:before="120" w:after="60" w:line="360" w:lineRule="auto"/>
      </w:pPr>
      <w:r>
        <w:rPr>
          <w:rFonts w:ascii="黑体" w:hAnsi="黑体" w:eastAsia="黑体"/>
          <w:b/>
          <w:sz w:val="24"/>
        </w:rPr>
        <w:t>6.2 预期结果</w:t>
      </w:r>
    </w:p>
    <w:p>
      <w:pPr>
        <w:spacing w:line="360" w:lineRule="auto" w:after="0" w:before="0"/>
        <w:ind w:firstLine="480"/>
      </w:pPr>
      <w:r>
        <w:rPr>
          <w:rFonts w:ascii="宋体" w:hAnsi="宋体" w:eastAsia="宋体"/>
          <w:b w:val="0"/>
          <w:sz w:val="24"/>
        </w:rPr>
        <w:t>本课题预计形成三项成果。第一，完成一篇围绕AIGC品牌视频广告品牌形象建构策略的学位论文。第二，形成一套基于多模态话语分析和量化内容编码的AIGC品牌视频广告分析框架，可用于描述和解释品牌形象的具体建构过程。第三，在统计分析和案例解释基础上总结当前AIGC品牌视频广告的主要建构策略、常见问题及优化方向，为后续相关研究和品牌实践提供参考。</w:t>
      </w:r>
    </w:p>
    <w:p>
      <w:pPr>
        <w:spacing w:line="360" w:lineRule="auto" w:after="0" w:before="0"/>
        <w:ind w:firstLine="480"/>
      </w:pPr>
      <w:r>
        <w:rPr>
          <w:rFonts w:ascii="宋体" w:hAnsi="宋体" w:eastAsia="宋体"/>
          <w:b w:val="0"/>
          <w:sz w:val="24"/>
        </w:rPr>
        <w:t>需要说明的是，本文参考文献的最终条目仍需在后续写作中依据已核验元数据统一整理并按学校格式规范化处理。</w:t>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