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参考文献</w:t>
      </w:r>
    </w:p>
    <w:p/>
    <w:p>
      <w:r>
        <w:rPr>
          <w:rFonts w:ascii="??" w:hAnsi="??" w:eastAsia="??"/>
          <w:b/>
          <w:sz w:val="28"/>
        </w:rPr>
        <w:t>（一）专著类</w:t>
      </w:r>
    </w:p>
    <w:p/>
    <w:p>
      <w:r>
        <w:rPr>
          <w:rFonts w:ascii="??" w:hAnsi="??" w:eastAsia="??"/>
          <w:b/>
          <w:sz w:val="24"/>
        </w:rPr>
        <w:t>1. 国内著作</w:t>
      </w:r>
    </w:p>
    <w:p/>
    <w:p>
      <w:r>
        <w:rPr>
          <w:rFonts w:ascii="??" w:hAnsi="??" w:eastAsia="??"/>
          <w:sz w:val="24"/>
        </w:rPr>
        <w:t>张德禄, 等. 多模态话语分析理论与外语教学[M]. 北京: 高等教育出版社, 2015.</w:t>
      </w:r>
    </w:p>
    <w:p/>
    <w:p>
      <w:r>
        <w:rPr>
          <w:rFonts w:ascii="??" w:hAnsi="??" w:eastAsia="??"/>
          <w:b/>
          <w:sz w:val="24"/>
        </w:rPr>
        <w:t>2. 国外著作</w:t>
      </w:r>
    </w:p>
    <w:p/>
    <w:p>
      <w:r>
        <w:rPr>
          <w:rFonts w:ascii="??" w:hAnsi="??" w:eastAsia="??"/>
          <w:b/>
          <w:sz w:val="24"/>
        </w:rPr>
        <w:t>3. 译著</w:t>
      </w:r>
    </w:p>
    <w:p/>
    <w:p>
      <w:r>
        <w:rPr>
          <w:rFonts w:ascii="??" w:hAnsi="??" w:eastAsia="??"/>
          <w:b/>
          <w:sz w:val="28"/>
        </w:rPr>
        <w:t>（二）国外论文类</w:t>
      </w:r>
    </w:p>
    <w:p/>
    <w:p>
      <w:r>
        <w:rPr>
          <w:rFonts w:ascii="??" w:hAnsi="??" w:eastAsia="??"/>
          <w:sz w:val="24"/>
        </w:rPr>
        <w:t>BAEK T H, KIM J, KIM J H. Effect of disclosing AI-generated content on prosocial advertising evaluation[J]. International Journal of Advertising, 2026, 45(1): 171-192. DOI:10.1080/02650487.2024.2401319.</w:t>
      </w:r>
    </w:p>
    <w:p/>
    <w:p>
      <w:r>
        <w:rPr>
          <w:rFonts w:ascii="??" w:hAnsi="??" w:eastAsia="??"/>
          <w:sz w:val="24"/>
        </w:rPr>
        <w:t>LIU M, YIM J. Content Quality Over Functionality: How Aesthetics, Authenticity, and Creativity Drive Designers' Adoption of AI-Generated Video Advertising Tools[J]. IEEE Access, 2026, 14: 76584-76600. DOI:10.1109/ACCESS.2026.3694681.</w:t>
      </w:r>
    </w:p>
    <w:p/>
    <w:p>
      <w:r>
        <w:rPr>
          <w:rFonts w:ascii="??" w:hAnsi="??" w:eastAsia="??"/>
          <w:sz w:val="24"/>
        </w:rPr>
        <w:t>PARK C W, JAWORSKI B J, MACINNIS D J. Strategic Brand Concept-Image Management[J]. Journal of Marketing, 1986, 50: 135-145.</w:t>
      </w:r>
    </w:p>
    <w:p/>
    <w:p>
      <w:r>
        <w:rPr>
          <w:rFonts w:ascii="??" w:hAnsi="??" w:eastAsia="??"/>
          <w:b/>
          <w:sz w:val="28"/>
        </w:rPr>
        <w:t>（三）国内论文类</w:t>
      </w:r>
    </w:p>
    <w:p/>
    <w:p>
      <w:r>
        <w:rPr>
          <w:rFonts w:ascii="??" w:hAnsi="??" w:eastAsia="??"/>
          <w:sz w:val="24"/>
        </w:rPr>
        <w:t>唐绮蔚, 孔馨仪, 张嘉慧, 等. 从文本到视听：AIGC助力古诗古曲多模态阅读推广的技术路径研究[J]. 图书馆杂志, 2026, 45(5): 72-81. DOI:10.13663/j.cnki.lj.2026.05.008.</w:t>
      </w:r>
    </w:p>
    <w:p/>
    <w:p>
      <w:r>
        <w:rPr>
          <w:rFonts w:ascii="??" w:hAnsi="??" w:eastAsia="??"/>
          <w:b/>
          <w:sz w:val="28"/>
        </w:rPr>
        <w:t>（四）学位论文类</w:t>
      </w:r>
    </w:p>
    <w:p/>
    <w:p>
      <w:r>
        <w:rPr>
          <w:rFonts w:ascii="??" w:hAnsi="??" w:eastAsia="??"/>
          <w:b/>
          <w:sz w:val="24"/>
        </w:rPr>
        <w:t>1. 博士学位论文</w:t>
      </w:r>
    </w:p>
    <w:p/>
    <w:p>
      <w:r>
        <w:rPr>
          <w:rFonts w:ascii="??" w:hAnsi="??" w:eastAsia="??"/>
          <w:b/>
          <w:sz w:val="24"/>
        </w:rPr>
        <w:t>2. 硕士学位论文</w:t>
      </w:r>
    </w:p>
    <w:p/>
    <w:p>
      <w:r>
        <w:rPr>
          <w:rFonts w:ascii="??" w:hAnsi="??" w:eastAsia="??"/>
          <w:sz w:val="24"/>
        </w:rPr>
        <w:t>鲍俊宇. AIGC广告与人工设计广告的效果及作用机制差异——基于情境实验的比较研究[D]. 兰州: 兰州大学, 2025.</w:t>
      </w:r>
    </w:p>
    <w:p/>
    <w:p>
      <w:r>
        <w:rPr>
          <w:rFonts w:ascii="??" w:hAnsi="??" w:eastAsia="??"/>
          <w:sz w:val="24"/>
        </w:rPr>
        <w:t>郑雲哲. 多模态话语分析视角下“洋网红”饮食类视频的跨文化传播研究[D]. 太原: 山西大学, 2025.</w:t>
      </w:r>
    </w:p>
    <w:p/>
    <w:p>
      <w:r>
        <w:rPr>
          <w:rFonts w:ascii="??" w:hAnsi="??" w:eastAsia="??"/>
          <w:sz w:val="24"/>
        </w:rPr>
        <w:t>李学娜. 全球传播语境下TikTok熊猫频道的多模态话语分析[D]. 北京: 北京印刷学院, 2025.</w:t>
      </w:r>
    </w:p>
    <w:p/>
    <w:p>
      <w:r>
        <w:rPr>
          <w:rFonts w:ascii="??" w:hAnsi="??" w:eastAsia="??"/>
          <w:sz w:val="24"/>
        </w:rPr>
        <w:t>杨诗. 多模态话语视角下中国文化形象的海外传播建构与话语策略研究[D]. 重庆: 西南大学, 2025.</w:t>
      </w:r>
    </w:p>
    <w:p/>
    <w:p>
      <w:r>
        <w:rPr>
          <w:rFonts w:ascii="??" w:hAnsi="??" w:eastAsia="??"/>
          <w:sz w:val="24"/>
        </w:rPr>
        <w:t>王紫璇. 非遗文化节目主持人的多模态话语分析研究——以毕业作品《撑花》为例[D]. 成都: 四川师范大学, 2025.</w:t>
      </w:r>
    </w:p>
    <w:p/>
    <w:p>
      <w:r>
        <w:rPr>
          <w:rFonts w:ascii="??" w:hAnsi="??" w:eastAsia="??"/>
          <w:sz w:val="24"/>
        </w:rPr>
        <w:t>张雨. 中国国家形象的多模态构建研究——以《行进中的中国》第二季为例[D]. 郑州: 郑州大学, 2025.</w:t>
      </w:r>
    </w:p>
    <w:p/>
    <w:p>
      <w:r>
        <w:rPr>
          <w:rFonts w:ascii="??" w:hAnsi="??" w:eastAsia="??"/>
          <w:sz w:val="24"/>
        </w:rPr>
        <w:t>李菲凡. 非遗题材短视频的多模态话语研究[D]. 郑州: 郑州大学, 2025.</w:t>
      </w:r>
    </w:p>
    <w:p/>
    <w:p>
      <w:r>
        <w:rPr>
          <w:rFonts w:ascii="??" w:hAnsi="??" w:eastAsia="??"/>
          <w:sz w:val="24"/>
        </w:rPr>
        <w:t>注：另有1篇英文本科荣誉论文，题为 The Impact of Artificial Intelligence in Advertising: An Experimental Evaluation of AI Video Generators（University of Northern Iowa, 2026），因不属于博士/硕士学位论文，未纳入本分类。</w:t>
      </w:r>
    </w:p>
    <w:p/>
    <w:p>
      <w:r>
        <w:rPr>
          <w:rFonts w:ascii="??" w:hAnsi="??" w:eastAsia="??"/>
          <w:b/>
          <w:sz w:val="28"/>
        </w:rPr>
        <w:t>（五）研究报告与行业资料</w:t>
      </w:r>
    </w:p>
    <w:p/>
    <w:p>
      <w:r>
        <w:rPr>
          <w:rFonts w:ascii="??" w:hAnsi="??" w:eastAsia="??"/>
          <w:b/>
          <w:sz w:val="24"/>
        </w:rPr>
        <w:t>1. 行业统计报告</w:t>
      </w:r>
    </w:p>
    <w:p/>
    <w:p>
      <w:r>
        <w:rPr>
          <w:rFonts w:ascii="??" w:hAnsi="??" w:eastAsia="??"/>
          <w:b/>
          <w:sz w:val="24"/>
        </w:rPr>
        <w:t>2. 平台研究报告</w:t>
      </w:r>
    </w:p>
    <w:p/>
    <w:p>
      <w:r>
        <w:rPr>
          <w:rFonts w:ascii="??" w:hAnsi="??" w:eastAsia="??"/>
          <w:b/>
          <w:sz w:val="24"/>
        </w:rPr>
        <w:t>3. 白皮书与调查报告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