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center"/>
      </w:pPr>
      <w:r>
        <w:rPr>
          <w:rFonts w:ascii="黑体" w:hAnsi="黑体" w:eastAsia="黑体"/>
          <w:b/>
          <w:sz w:val="32"/>
        </w:rPr>
        <w:t>多模态话语视角下AIGC视频广告品牌形象建构策略研究</w:t>
      </w:r>
    </w:p>
    <w:p>
      <w:pPr>
        <w:spacing w:before="0" w:after="60" w:line="360" w:lineRule="auto"/>
        <w:ind w:left="0"/>
        <w:jc w:val="center"/>
      </w:pPr>
      <w:r>
        <w:rPr>
          <w:rFonts w:ascii="黑体" w:hAnsi="黑体" w:eastAsia="黑体"/>
          <w:b/>
          <w:sz w:val="28"/>
        </w:rPr>
        <w:t>修订目录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绪论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一、研究背景与问题提出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二、研究目的与研究意义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三、研究内容、研究问题与研究方法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四、创新点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第一章 文献综述与理论基础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1.1 多模态话语分析的理论研究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1.2 多模态话语分析在动态视听文本中的应用研究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1.3 视频广告与品牌形象建构研究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1.4 AIGC视频广告研究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1.5 文献述评与本文切入点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第二章 研究设计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2.1 核心概念界定与研究问题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2.2 理论分析框架构建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2.3 研究对象与样本设计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2.4 编码维度与操作化指标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2.5 数据收集与编码流程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2.6 信度与效度控制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第三章 AIGC品牌视频广告的话语情境特征分析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3.1 AIGC品牌视频广告的传播语境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3.2 AIGC品牌视频广告的传播场景分布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3.3 AIGC品牌视频广告的诉求导向与品牌传播重心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3.4 话语情境对品牌意义生产的影响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第四章 AIGC品牌视频广告的多模态表达特征分析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4.1 语言模态的品牌表达特征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4.1.1 品牌名称、口号与核心文案的显性呈现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4.1.2 字幕、旁白与叙事文本的信息组织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4.1.3 语言风格与品牌诉求的对应关系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4.2 视觉模态的品牌表达特征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4.2.1 场景构建与叙事空间塑造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4.2.2 人物、产品与品牌符号的视觉配置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4.2.3 色彩、构图与镜头运动的意义生产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4.2.4 AIGC视觉奇观与技术感的呈现方式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4.3 听觉模态的品牌表达特征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4.3.1 配音语调与品牌人格塑造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4.3.2 背景音乐与情绪氛围营造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4.3.3 音效节奏与叙事推进机制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4.4 多模态表达的整体组合特征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4.4.1 语言、视觉与听觉资源的主导关系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4.4.2 不同表达组合的分布特征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4.4.3 表达层特征的阶段性总结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第五章 AIGC品牌视频广告的品牌形象呈现与模态协同机制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5.1 功能形象的多模态建构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5.1.1 产品性能与技术优势的呈现方式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5.1.2 使用场景与实用价值的强化路径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5.2 情感形象的多模态建构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5.2.1 情绪氛围的营造机制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5.2.2 陪伴感与品牌亲近性的塑造方式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5.3 符号形象与价值形象的多模态建构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5.3.1 生活方式与审美风格的符号表达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5.3.2 品牌理念与社会价值的意义呈现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5.4 品牌形象呈现的典型模式与模态关系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5.4.1 强化型模态协同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5.4.2 互补型模态协同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5.4.3 协调型与弱关联型模态关系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5.5 品牌形象建构中的主要问题与优化方向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5.5.1 品牌识别不足与意义漂移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5.5.2 技术奇观压倒品牌表达</w:t>
      </w:r>
    </w:p>
    <w:p>
      <w:pPr>
        <w:spacing w:before="0" w:after="60" w:line="360" w:lineRule="auto"/>
        <w:ind w:left="720"/>
        <w:jc w:val="left"/>
      </w:pPr>
      <w:r>
        <w:rPr>
          <w:rFonts w:ascii="宋体" w:hAnsi="宋体" w:eastAsia="宋体"/>
          <w:b w:val="0"/>
          <w:sz w:val="24"/>
        </w:rPr>
        <w:t>5.5.3 模态协同失衡与叙事断裂</w:t>
      </w:r>
    </w:p>
    <w:p>
      <w:pPr>
        <w:spacing w:before="0" w:after="60" w:line="360" w:lineRule="auto"/>
        <w:ind w:left="0"/>
        <w:jc w:val="left"/>
      </w:pPr>
      <w:r>
        <w:rPr>
          <w:rFonts w:ascii="黑体" w:hAnsi="黑体" w:eastAsia="黑体"/>
          <w:b/>
          <w:sz w:val="28"/>
        </w:rPr>
        <w:t>结语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一、研究结论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二、研究不足</w:t>
      </w:r>
    </w:p>
    <w:p>
      <w:pPr>
        <w:spacing w:before="0" w:after="60" w:line="360" w:lineRule="auto"/>
        <w:ind w:left="360"/>
        <w:jc w:val="left"/>
      </w:pPr>
      <w:r>
        <w:rPr>
          <w:rFonts w:ascii="黑体" w:hAnsi="黑体" w:eastAsia="黑体"/>
          <w:b/>
          <w:sz w:val="24"/>
        </w:rPr>
        <w:t>三、未来展望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