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FAC5" w14:textId="7E4C3727" w:rsidR="00867272" w:rsidRPr="00867272" w:rsidRDefault="00231241" w:rsidP="0086727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Evidence of Crude Oil</w:t>
      </w:r>
      <w:r w:rsidR="00924E42">
        <w:rPr>
          <w:b/>
          <w:bCs/>
          <w:sz w:val="28"/>
          <w:szCs w:val="28"/>
        </w:rPr>
        <w:t xml:space="preserve"> Financialization </w:t>
      </w:r>
      <w:r>
        <w:rPr>
          <w:b/>
          <w:bCs/>
          <w:sz w:val="28"/>
          <w:szCs w:val="28"/>
        </w:rPr>
        <w:t xml:space="preserve">from </w:t>
      </w:r>
      <w:r>
        <w:rPr>
          <w:b/>
          <w:bCs/>
          <w:sz w:val="28"/>
          <w:szCs w:val="28"/>
        </w:rPr>
        <w:t>An Exogenous Shock Perspective</w:t>
      </w:r>
    </w:p>
    <w:p w14:paraId="1A8184D3" w14:textId="4CB7C176" w:rsidR="00302FB6" w:rsidRPr="00867272" w:rsidRDefault="00867272">
      <w:pPr>
        <w:rPr>
          <w:b/>
          <w:bCs/>
        </w:rPr>
      </w:pPr>
      <w:r w:rsidRPr="00867272">
        <w:rPr>
          <w:b/>
          <w:bCs/>
        </w:rPr>
        <w:t>Background</w:t>
      </w:r>
    </w:p>
    <w:p w14:paraId="7CD89338" w14:textId="27B34FE9" w:rsidR="00F35E2D" w:rsidRDefault="00231241">
      <w:r>
        <w:t xml:space="preserve">The sharp oil price rise from </w:t>
      </w:r>
      <w:r w:rsidR="00A67D9E">
        <w:t>2003 to 2008 has often been attributed to the role of speculation</w:t>
      </w:r>
      <w:r w:rsidR="00C164BE">
        <w:rPr>
          <w:rStyle w:val="FootnoteReference"/>
        </w:rPr>
        <w:footnoteReference w:id="1"/>
      </w:r>
      <w:r w:rsidR="00A67D9E">
        <w:t xml:space="preserve"> driven by a gradual acceptance of </w:t>
      </w:r>
      <w:r w:rsidR="00942262">
        <w:t>oil</w:t>
      </w:r>
      <w:r w:rsidR="00A67D9E">
        <w:t xml:space="preserve"> </w:t>
      </w:r>
      <w:r w:rsidR="00942262">
        <w:t>futures</w:t>
      </w:r>
      <w:r w:rsidR="00A67D9E">
        <w:t xml:space="preserve"> by </w:t>
      </w:r>
      <w:r w:rsidR="0086179A">
        <w:t xml:space="preserve">institutional </w:t>
      </w:r>
      <w:r w:rsidR="00A67D9E">
        <w:t xml:space="preserve">investors </w:t>
      </w:r>
      <w:r w:rsidR="00942262">
        <w:t xml:space="preserve">in a process known as financialization (Masters, 2008; Tang and Xiong, 2012; Hamilton </w:t>
      </w:r>
      <w:r w:rsidR="00C164BE">
        <w:t>and</w:t>
      </w:r>
      <w:r w:rsidR="00942262">
        <w:t xml:space="preserve"> Wu, 2015). However, debate</w:t>
      </w:r>
      <w:r w:rsidR="00BE3EF6">
        <w:t xml:space="preserve"> has arisen</w:t>
      </w:r>
      <w:r w:rsidR="00942262">
        <w:t xml:space="preserve"> about the </w:t>
      </w:r>
      <w:r w:rsidR="00D94D42">
        <w:t xml:space="preserve">strength of </w:t>
      </w:r>
      <w:r w:rsidR="00BE3EF6">
        <w:t>speculation</w:t>
      </w:r>
      <w:r w:rsidR="00D94D42">
        <w:t>, with many academics questioning whether financialization</w:t>
      </w:r>
      <w:r w:rsidR="00BE3EF6">
        <w:t xml:space="preserve"> or cyclical changes in fundamentals</w:t>
      </w:r>
      <w:r w:rsidR="00D94D42">
        <w:t xml:space="preserve"> </w:t>
      </w:r>
      <w:r w:rsidR="000A5744">
        <w:t>was</w:t>
      </w:r>
      <w:r w:rsidR="00D94D42">
        <w:t xml:space="preserve"> the main driver</w:t>
      </w:r>
      <w:r w:rsidR="000A5744">
        <w:t xml:space="preserve"> over that period</w:t>
      </w:r>
      <w:r w:rsidR="00D94D42">
        <w:t xml:space="preserve"> (</w:t>
      </w:r>
      <w:r w:rsidR="00D94D42" w:rsidRPr="00D94D42">
        <w:t>Buyuksahin and Harris</w:t>
      </w:r>
      <w:r w:rsidR="00D94D42" w:rsidRPr="00D94D42">
        <w:t xml:space="preserve"> </w:t>
      </w:r>
      <w:r w:rsidR="00D94D42">
        <w:t xml:space="preserve">2011; </w:t>
      </w:r>
      <w:r w:rsidR="00D94D42" w:rsidRPr="00D94D42">
        <w:t>Fattouh, Kilian, and Mahadeva</w:t>
      </w:r>
      <w:r w:rsidR="00D94D42">
        <w:t>, 2013). Although it is hard to pin down the exact effects of financialization</w:t>
      </w:r>
      <w:r w:rsidR="00BE3EF6">
        <w:t xml:space="preserve">, </w:t>
      </w:r>
      <w:r w:rsidR="0086179A">
        <w:t xml:space="preserve">literature suggests that </w:t>
      </w:r>
      <w:r w:rsidR="00C164BE">
        <w:t xml:space="preserve">commodities have turned from an asset class for investors to diversify from the equity market (Gorton and Rouwenhorst, 2006) to being increasingly </w:t>
      </w:r>
      <w:r w:rsidR="000A5744">
        <w:t>correlated with the equity market (</w:t>
      </w:r>
      <w:r w:rsidR="000A5744" w:rsidRPr="000A5744">
        <w:t>Buyuksahin</w:t>
      </w:r>
      <w:r w:rsidR="000A5744">
        <w:t xml:space="preserve"> and</w:t>
      </w:r>
      <w:r w:rsidR="000A5744" w:rsidRPr="000A5744">
        <w:t xml:space="preserve"> Robe</w:t>
      </w:r>
      <w:r w:rsidR="000A5744">
        <w:t xml:space="preserve">, </w:t>
      </w:r>
      <w:r w:rsidR="000A5744" w:rsidRPr="000A5744">
        <w:t>2014</w:t>
      </w:r>
      <w:r w:rsidR="000A5744">
        <w:t xml:space="preserve">). </w:t>
      </w:r>
    </w:p>
    <w:p w14:paraId="250D542F" w14:textId="6067D15B" w:rsidR="00893CAE" w:rsidRDefault="00893CAE">
      <w:r>
        <w:t xml:space="preserve">Strong evidence of time-varying </w:t>
      </w:r>
      <w:r w:rsidR="003F69C6">
        <w:t xml:space="preserve">commodity </w:t>
      </w:r>
      <w:r>
        <w:t xml:space="preserve">futures risk premium attributed to financialization has emerged recently in the literature (Baumeister and Kilian, 2016), which extends to </w:t>
      </w:r>
      <w:r w:rsidR="007E307D">
        <w:t>equity risk appetite</w:t>
      </w:r>
      <w:r>
        <w:t xml:space="preserve"> (</w:t>
      </w:r>
      <w:r w:rsidR="007E307D" w:rsidRPr="007E307D">
        <w:t>Cheng, Kirilenko &amp; Xiong 2013</w:t>
      </w:r>
      <w:r w:rsidR="007E307D">
        <w:t xml:space="preserve">; </w:t>
      </w:r>
      <w:r>
        <w:t xml:space="preserve">Boons, de Roon and </w:t>
      </w:r>
      <w:r w:rsidRPr="0086179A">
        <w:t>Szymanowska</w:t>
      </w:r>
      <w:r>
        <w:t xml:space="preserve">, 2014; </w:t>
      </w:r>
      <w:r w:rsidRPr="00BA0396">
        <w:t>Isleimeyyeh</w:t>
      </w:r>
      <w:r>
        <w:t xml:space="preserve">, forthcoming). </w:t>
      </w:r>
      <w:r w:rsidR="007E307D">
        <w:t xml:space="preserve">While </w:t>
      </w:r>
      <w:r w:rsidR="007E307D" w:rsidRPr="007E307D">
        <w:t xml:space="preserve">Cheng, Kirilenko &amp; Xiong </w:t>
      </w:r>
      <w:r w:rsidR="007E307D">
        <w:t xml:space="preserve">(2013) </w:t>
      </w:r>
      <w:r w:rsidR="003F69C6">
        <w:t>has used the VIX index to approximate traders’ risk appetite</w:t>
      </w:r>
      <w:r w:rsidR="008157BC">
        <w:t xml:space="preserve"> for agricultural commodities</w:t>
      </w:r>
      <w:r w:rsidR="003F69C6">
        <w:t>,</w:t>
      </w:r>
      <w:r w:rsidR="00B30689">
        <w:t xml:space="preserve"> I believe</w:t>
      </w:r>
      <w:r w:rsidR="003F69C6">
        <w:t xml:space="preserve"> no direct analysis between equity </w:t>
      </w:r>
      <w:r w:rsidR="00B30689">
        <w:t>risk</w:t>
      </w:r>
      <w:r w:rsidR="003F69C6">
        <w:t xml:space="preserve"> and</w:t>
      </w:r>
      <w:r w:rsidR="008157BC">
        <w:t xml:space="preserve"> the oil market has been conducted. My proposed research will give evidence </w:t>
      </w:r>
      <w:r w:rsidR="007E03D2">
        <w:t>on</w:t>
      </w:r>
      <w:r w:rsidR="008157BC">
        <w:t xml:space="preserve"> the effect </w:t>
      </w:r>
      <w:r w:rsidR="008157BC">
        <w:lastRenderedPageBreak/>
        <w:t>of</w:t>
      </w:r>
      <w:r w:rsidR="00B30689">
        <w:t xml:space="preserve"> (perceived)</w:t>
      </w:r>
      <w:r w:rsidR="008157BC">
        <w:t xml:space="preserve"> </w:t>
      </w:r>
      <w:r w:rsidR="00B30689">
        <w:t>equity risk</w:t>
      </w:r>
      <w:r w:rsidR="008157BC">
        <w:t xml:space="preserve"> </w:t>
      </w:r>
      <w:r w:rsidR="00B30689">
        <w:t>given by</w:t>
      </w:r>
      <w:r w:rsidR="008157BC">
        <w:t xml:space="preserve"> the VIX on WTI futures</w:t>
      </w:r>
      <w:r w:rsidR="007E03D2">
        <w:t>, as well as changes over time</w:t>
      </w:r>
      <w:r w:rsidR="008157BC">
        <w:t>.</w:t>
      </w:r>
      <w:r w:rsidR="007E03D2">
        <w:t xml:space="preserve"> With this I hope to extend existing literature on financialization from a novel perspective that takes the risk premium literature into account while </w:t>
      </w:r>
      <w:r w:rsidR="00A40776">
        <w:t>directly inferring</w:t>
      </w:r>
      <w:r w:rsidR="007E03D2">
        <w:t xml:space="preserve"> the impact of stock market risk on </w:t>
      </w:r>
      <w:r w:rsidR="00A40776">
        <w:t>crude</w:t>
      </w:r>
      <w:r w:rsidR="007E03D2">
        <w:t xml:space="preserve"> returns.</w:t>
      </w:r>
    </w:p>
    <w:p w14:paraId="00A01814" w14:textId="6DE4D4A0" w:rsidR="0038641F" w:rsidRDefault="000A5744">
      <w:pPr>
        <w:rPr>
          <w:b/>
          <w:bCs/>
        </w:rPr>
      </w:pPr>
      <w:r>
        <w:rPr>
          <w:b/>
          <w:bCs/>
        </w:rPr>
        <w:t>Research Question</w:t>
      </w:r>
      <w:r w:rsidR="007E03D2">
        <w:rPr>
          <w:b/>
          <w:bCs/>
        </w:rPr>
        <w:t>s</w:t>
      </w:r>
    </w:p>
    <w:p w14:paraId="1B233B79" w14:textId="149E613A" w:rsidR="000A5744" w:rsidRDefault="007E03D2" w:rsidP="007E03D2">
      <w:pPr>
        <w:pStyle w:val="ListParagraph"/>
        <w:numPr>
          <w:ilvl w:val="0"/>
          <w:numId w:val="1"/>
        </w:numPr>
      </w:pPr>
      <w:r>
        <w:t>What is th</w:t>
      </w:r>
      <w:r w:rsidR="00A40776">
        <w:t>e</w:t>
      </w:r>
      <w:r>
        <w:t xml:space="preserve"> impact of shocks in the VIX on WTI futures returns?</w:t>
      </w:r>
    </w:p>
    <w:p w14:paraId="55496282" w14:textId="29F3D969" w:rsidR="007E03D2" w:rsidRDefault="007E03D2" w:rsidP="007E03D2">
      <w:pPr>
        <w:pStyle w:val="ListParagraph"/>
        <w:numPr>
          <w:ilvl w:val="0"/>
          <w:numId w:val="1"/>
        </w:numPr>
      </w:pPr>
      <w:r>
        <w:t>How does that impact change over time</w:t>
      </w:r>
      <w:r w:rsidR="00F536F3">
        <w:t xml:space="preserve"> as the oil market experiences financialization</w:t>
      </w:r>
      <w:r>
        <w:t>?</w:t>
      </w:r>
    </w:p>
    <w:p w14:paraId="0AE86CA3" w14:textId="65FFA8C1" w:rsidR="00F536F3" w:rsidRDefault="00F536F3" w:rsidP="007E03D2">
      <w:pPr>
        <w:pStyle w:val="ListParagraph"/>
        <w:numPr>
          <w:ilvl w:val="0"/>
          <w:numId w:val="1"/>
        </w:numPr>
      </w:pPr>
      <w:r>
        <w:t>Does this effect extend to other forms of uncertainty such as geopolitical risk and economic policy uncertainty?</w:t>
      </w:r>
    </w:p>
    <w:p w14:paraId="28FA2052" w14:textId="195F76FD" w:rsidR="00B30689" w:rsidRDefault="00B30689" w:rsidP="00B30689">
      <w:pPr>
        <w:rPr>
          <w:b/>
          <w:bCs/>
        </w:rPr>
      </w:pPr>
      <w:r>
        <w:rPr>
          <w:b/>
          <w:bCs/>
        </w:rPr>
        <w:t>Scope</w:t>
      </w:r>
    </w:p>
    <w:p w14:paraId="7E64789C" w14:textId="71DE9B63" w:rsidR="00B30689" w:rsidRDefault="00B30689" w:rsidP="00B30689">
      <w:r>
        <w:t>For my independent variable I will limit the uncertainty indices used to mainly the VIX, though will also explore EPU and GPR indices. I intend to include the VIX3M as part of my robustness check.</w:t>
      </w:r>
    </w:p>
    <w:p w14:paraId="42FC393C" w14:textId="69B41033" w:rsidR="00B30689" w:rsidRPr="00B30689" w:rsidRDefault="00B30689" w:rsidP="00B30689">
      <w:r>
        <w:t>For my dependent variable I will</w:t>
      </w:r>
      <w:r w:rsidR="00A40776">
        <w:t xml:space="preserve"> use WTI futures of maturity 1M. Spot and 3M futures will be used for robustness checks.</w:t>
      </w:r>
    </w:p>
    <w:sectPr w:rsidR="00B30689" w:rsidRPr="00B30689" w:rsidSect="00964A6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AD8B7" w14:textId="77777777" w:rsidR="00503D48" w:rsidRDefault="00503D48" w:rsidP="00C164BE">
      <w:pPr>
        <w:spacing w:before="0" w:after="0" w:line="240" w:lineRule="auto"/>
      </w:pPr>
      <w:r>
        <w:separator/>
      </w:r>
    </w:p>
  </w:endnote>
  <w:endnote w:type="continuationSeparator" w:id="0">
    <w:p w14:paraId="34764D16" w14:textId="77777777" w:rsidR="00503D48" w:rsidRDefault="00503D48" w:rsidP="00C164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8153" w14:textId="77777777" w:rsidR="00503D48" w:rsidRDefault="00503D48" w:rsidP="00C164BE">
      <w:pPr>
        <w:spacing w:before="0" w:after="0" w:line="240" w:lineRule="auto"/>
      </w:pPr>
      <w:r>
        <w:separator/>
      </w:r>
    </w:p>
  </w:footnote>
  <w:footnote w:type="continuationSeparator" w:id="0">
    <w:p w14:paraId="11FF7F44" w14:textId="77777777" w:rsidR="00503D48" w:rsidRDefault="00503D48" w:rsidP="00C164BE">
      <w:pPr>
        <w:spacing w:before="0" w:after="0" w:line="240" w:lineRule="auto"/>
      </w:pPr>
      <w:r>
        <w:continuationSeparator/>
      </w:r>
    </w:p>
  </w:footnote>
  <w:footnote w:id="1">
    <w:p w14:paraId="56DE2507" w14:textId="28629FB8" w:rsidR="00C164BE" w:rsidRDefault="00C164BE">
      <w:pPr>
        <w:pStyle w:val="FootnoteText"/>
      </w:pPr>
      <w:r>
        <w:rPr>
          <w:rStyle w:val="FootnoteReference"/>
        </w:rPr>
        <w:footnoteRef/>
      </w:r>
      <w:r>
        <w:t xml:space="preserve"> Although no satisfactory definition for speculation exists</w:t>
      </w:r>
      <w:r w:rsidR="00B428F1">
        <w:t>, it is broadly defined as the purchasing of commodities for anything other than immediate use</w:t>
      </w:r>
      <w:r>
        <w:t xml:space="preserve"> (Fattouh, Kilian and Mahadeva, </w:t>
      </w:r>
      <w:r w:rsidR="00B428F1">
        <w:t>2013)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F3C67"/>
    <w:multiLevelType w:val="hybridMultilevel"/>
    <w:tmpl w:val="11DC9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36"/>
    <w:rsid w:val="00083E04"/>
    <w:rsid w:val="00086D4C"/>
    <w:rsid w:val="000A5744"/>
    <w:rsid w:val="000F4C8A"/>
    <w:rsid w:val="00101DB5"/>
    <w:rsid w:val="00231241"/>
    <w:rsid w:val="002E1B3E"/>
    <w:rsid w:val="00302FB6"/>
    <w:rsid w:val="00367EEE"/>
    <w:rsid w:val="003B0420"/>
    <w:rsid w:val="003C4F1D"/>
    <w:rsid w:val="003F69C6"/>
    <w:rsid w:val="004B5C14"/>
    <w:rsid w:val="00503D48"/>
    <w:rsid w:val="00586FC7"/>
    <w:rsid w:val="005F0907"/>
    <w:rsid w:val="007325ED"/>
    <w:rsid w:val="00773536"/>
    <w:rsid w:val="007A0458"/>
    <w:rsid w:val="007B36A0"/>
    <w:rsid w:val="007D287E"/>
    <w:rsid w:val="007E03D2"/>
    <w:rsid w:val="007E307D"/>
    <w:rsid w:val="00815474"/>
    <w:rsid w:val="008157BC"/>
    <w:rsid w:val="0086179A"/>
    <w:rsid w:val="00867272"/>
    <w:rsid w:val="00893CAE"/>
    <w:rsid w:val="00924E42"/>
    <w:rsid w:val="00942262"/>
    <w:rsid w:val="00964A63"/>
    <w:rsid w:val="00A1042B"/>
    <w:rsid w:val="00A40776"/>
    <w:rsid w:val="00A67D9E"/>
    <w:rsid w:val="00A70AF0"/>
    <w:rsid w:val="00B30689"/>
    <w:rsid w:val="00B37D76"/>
    <w:rsid w:val="00B428F1"/>
    <w:rsid w:val="00B85849"/>
    <w:rsid w:val="00BA0396"/>
    <w:rsid w:val="00BB28DA"/>
    <w:rsid w:val="00BE2B41"/>
    <w:rsid w:val="00BE3EF6"/>
    <w:rsid w:val="00C164BE"/>
    <w:rsid w:val="00D94D42"/>
    <w:rsid w:val="00E149E0"/>
    <w:rsid w:val="00E3245A"/>
    <w:rsid w:val="00F35E2D"/>
    <w:rsid w:val="00F5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D92B"/>
  <w15:chartTrackingRefBased/>
  <w15:docId w15:val="{9D7C97F7-23A9-40E3-9AC1-B43F32EE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GB" w:eastAsia="zh-CN" w:bidi="ar-SA"/>
      </w:rPr>
    </w:rPrDefault>
    <w:pPrDefault>
      <w:pPr>
        <w:spacing w:before="240" w:after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C14"/>
  </w:style>
  <w:style w:type="paragraph" w:styleId="Heading1">
    <w:name w:val="heading 1"/>
    <w:basedOn w:val="Title"/>
    <w:next w:val="Normal"/>
    <w:link w:val="Heading1Char"/>
    <w:uiPriority w:val="9"/>
    <w:qFormat/>
    <w:rsid w:val="004B5C14"/>
    <w:pPr>
      <w:outlineLvl w:val="0"/>
    </w:pPr>
    <w:rPr>
      <w:b w:val="0"/>
      <w:bCs w:val="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5C14"/>
    <w:pPr>
      <w:outlineLvl w:val="1"/>
    </w:pPr>
    <w:rPr>
      <w:b/>
      <w:bCs/>
      <w:color w:val="4472C4" w:themeColor="accent1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B5C14"/>
    <w:pPr>
      <w:outlineLvl w:val="2"/>
    </w:pPr>
    <w:rPr>
      <w:sz w:val="32"/>
      <w:szCs w:val="32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C14"/>
    <w:rPr>
      <w:rFonts w:eastAsiaTheme="majorEastAsia"/>
      <w:b/>
      <w:bCs/>
      <w:spacing w:val="-10"/>
      <w:kern w:val="28"/>
      <w:sz w:val="44"/>
      <w:szCs w:val="4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5C14"/>
    <w:rPr>
      <w:rFonts w:eastAsiaTheme="majorEastAsia"/>
      <w:color w:val="4472C4" w:themeColor="accent1"/>
      <w:spacing w:val="-10"/>
      <w:kern w:val="28"/>
      <w:sz w:val="36"/>
      <w:szCs w:val="3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B5C14"/>
    <w:pPr>
      <w:spacing w:before="0" w:after="0" w:line="240" w:lineRule="auto"/>
      <w:contextualSpacing/>
    </w:pPr>
    <w:rPr>
      <w:rFonts w:eastAsiaTheme="majorEastAsia"/>
      <w:b/>
      <w:bCs/>
      <w:spacing w:val="-10"/>
      <w:kern w:val="28"/>
      <w:sz w:val="44"/>
      <w:szCs w:val="4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B5C14"/>
    <w:rPr>
      <w:rFonts w:eastAsiaTheme="majorEastAsia"/>
      <w:b/>
      <w:bCs/>
      <w:spacing w:val="-10"/>
      <w:kern w:val="28"/>
      <w:sz w:val="44"/>
      <w:szCs w:val="44"/>
      <w:u w:val="single"/>
    </w:rPr>
  </w:style>
  <w:style w:type="paragraph" w:styleId="ListParagraph">
    <w:name w:val="List Paragraph"/>
    <w:basedOn w:val="Normal"/>
    <w:uiPriority w:val="34"/>
    <w:qFormat/>
    <w:rsid w:val="004B5C1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B5C14"/>
    <w:pPr>
      <w:spacing w:line="259" w:lineRule="auto"/>
      <w:outlineLvl w:val="9"/>
    </w:pPr>
    <w:rPr>
      <w:b/>
      <w:bCs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B5C14"/>
    <w:rPr>
      <w:rFonts w:eastAsiaTheme="majorEastAsia"/>
      <w:color w:val="4472C4" w:themeColor="accent1"/>
      <w:spacing w:val="-10"/>
      <w:kern w:val="28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64BE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64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64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769E2-5BDF-4851-A48B-6E92172F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</dc:creator>
  <cp:keywords/>
  <dc:description/>
  <cp:lastModifiedBy>Tony Chen</cp:lastModifiedBy>
  <cp:revision>3</cp:revision>
  <dcterms:created xsi:type="dcterms:W3CDTF">2022-02-01T21:07:00Z</dcterms:created>
  <dcterms:modified xsi:type="dcterms:W3CDTF">2022-02-01T23:53:00Z</dcterms:modified>
</cp:coreProperties>
</file>