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35E6" w14:textId="77777777" w:rsidR="008A7235" w:rsidRPr="00A177CC" w:rsidRDefault="008A7235" w:rsidP="008A7235">
      <w:pPr>
        <w:jc w:val="center"/>
        <w:rPr>
          <w:b/>
          <w:bCs/>
        </w:rPr>
      </w:pPr>
      <w:r>
        <w:rPr>
          <w:b/>
          <w:bCs/>
        </w:rPr>
        <w:t>Time-Varying Effects of Financialization on Commodity-Equity Risk Sharing</w:t>
      </w:r>
    </w:p>
    <w:p w14:paraId="5A9D13D3" w14:textId="14880711" w:rsidR="00FD4167" w:rsidRDefault="00FD4167">
      <w:r>
        <w:t>Abstract</w:t>
      </w:r>
    </w:p>
    <w:p w14:paraId="4183D897" w14:textId="6E19E810" w:rsidR="00FD4167" w:rsidRDefault="00B273F4">
      <w:r>
        <w:t xml:space="preserve">As financialization allow more speculators enter </w:t>
      </w:r>
      <w:r w:rsidR="00605120">
        <w:t>the commodity market</w:t>
      </w:r>
      <w:r>
        <w:t xml:space="preserve">, </w:t>
      </w:r>
      <w:r w:rsidR="00350345">
        <w:t xml:space="preserve">systematic </w:t>
      </w:r>
      <w:r>
        <w:t xml:space="preserve">risk </w:t>
      </w:r>
      <w:r w:rsidR="00350345">
        <w:t>is shared</w:t>
      </w:r>
      <w:r>
        <w:t xml:space="preserve">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w:t>
      </w:r>
      <w:r w:rsidR="00CB6ED6">
        <w:t>In particular, systematic risk transmission is associated with commodity index speculation, which has been evidenced to occur between commodities and equities in prior correlation studies. U</w:t>
      </w:r>
      <w:r w:rsidR="00350345">
        <w:t>sing Kalman filters</w:t>
      </w:r>
      <w:r w:rsidR="000C7243">
        <w:t>, this pape</w:t>
      </w:r>
      <w:r w:rsidR="00D56A4C">
        <w:t xml:space="preserve">r </w:t>
      </w:r>
      <w:r w:rsidR="00350345">
        <w:t>e</w:t>
      </w:r>
      <w:r w:rsidR="00CB6ED6">
        <w:t>xtends previous studies by estimating</w:t>
      </w:r>
      <w:r w:rsidR="00D56A4C">
        <w:t xml:space="preserve"> </w:t>
      </w:r>
      <w:r w:rsidR="00EC2796">
        <w:t xml:space="preserve">the </w:t>
      </w:r>
      <w:r w:rsidR="00D56A4C">
        <w:t xml:space="preserve">time-varying </w:t>
      </w:r>
      <w:r w:rsidR="00350345">
        <w:t>systematic risk coefficients</w:t>
      </w:r>
      <w:r w:rsidR="00CB6ED6">
        <w:t xml:space="preserve"> between commodity and equity markets</w:t>
      </w:r>
      <w:r w:rsidR="00EC2796">
        <w:t xml:space="preserve"> directly</w:t>
      </w:r>
      <w:r w:rsidR="00D56A4C">
        <w:t>.</w:t>
      </w:r>
      <w:r w:rsidR="005A5FD0">
        <w:t xml:space="preserve"> </w:t>
      </w:r>
      <w:r w:rsidR="009E24FD">
        <w:t>The f</w:t>
      </w:r>
      <w:r w:rsidR="00932FE4">
        <w:t>indings suggest that financialization</w:t>
      </w:r>
      <w:r w:rsidR="003071E0">
        <w:t xml:space="preserve"> has</w:t>
      </w:r>
      <w:r w:rsidR="00CB6ED6">
        <w:t xml:space="preserve"> indeed</w:t>
      </w:r>
      <w:r w:rsidR="00932FE4">
        <w:t xml:space="preserve"> erode</w:t>
      </w:r>
      <w:r w:rsidR="003071E0">
        <w:t>d</w:t>
      </w:r>
      <w:r w:rsidR="00932FE4">
        <w:t xml:space="preserve"> the diversification benefits of commodit</w:t>
      </w:r>
      <w:r w:rsidR="00350345">
        <w:t>y indices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50345">
        <w:t>, but individual commodities remain largely unaffected.</w:t>
      </w:r>
    </w:p>
    <w:p w14:paraId="155CF700" w14:textId="181ED335" w:rsidR="00F508AD" w:rsidRDefault="004C028E" w:rsidP="004C028E">
      <w:pPr>
        <w:pStyle w:val="ListParagraph"/>
        <w:numPr>
          <w:ilvl w:val="0"/>
          <w:numId w:val="3"/>
        </w:numPr>
      </w:pPr>
      <w:r>
        <w:t>Introduction</w:t>
      </w:r>
    </w:p>
    <w:p w14:paraId="633A8504" w14:textId="68FDE6B2"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commodities </w:t>
      </w:r>
      <w:r w:rsidR="00C1597C">
        <w:t xml:space="preserve">and equities </w:t>
      </w:r>
      <w:r w:rsidR="00F25419">
        <w:t>exhibit no positive correlation</w:t>
      </w:r>
      <w:r w:rsidR="00EE4DAC">
        <w:t xml:space="preserve"> </w:t>
      </w:r>
      <w:r w:rsidR="00D8524D">
        <w:t>was</w:t>
      </w:r>
      <w:r w:rsidR="000A7BE1">
        <w:t xml:space="preserve"> established</w:t>
      </w:r>
      <w:r w:rsidR="00D8524D">
        <w:t xml:space="preserve"> </w:t>
      </w:r>
      <w:r w:rsidR="00D21889">
        <w:t>before the effects of commodity</w:t>
      </w:r>
      <w:r w:rsidR="002B32F9">
        <w:t xml:space="preserve"> market</w:t>
      </w:r>
      <w:r w:rsidR="009159E6">
        <w:t xml:space="preserve"> financialization</w:t>
      </w:r>
      <w:r w:rsidR="002B32F9">
        <w:t xml:space="preserve"> </w:t>
      </w:r>
      <w:r w:rsidR="00D21889">
        <w:t>w</w:t>
      </w:r>
      <w:r w:rsidR="007D571E">
        <w:t>ere</w:t>
      </w:r>
      <w:r w:rsidR="00D21889">
        <w:t xml:space="preserve"> </w:t>
      </w:r>
      <w:r w:rsidR="002C4DF1">
        <w:t>prominent</w:t>
      </w:r>
      <w:r w:rsidR="002B32F9">
        <w:t xml:space="preserve">, such as Gorton and </w:t>
      </w:r>
      <w:proofErr w:type="spellStart"/>
      <w:r w:rsidR="002B32F9">
        <w:t>Rowenhorst’s</w:t>
      </w:r>
      <w:proofErr w:type="spellEnd"/>
      <w:r w:rsidR="002B32F9">
        <w:t xml:space="preserve"> </w:t>
      </w:r>
      <w:r w:rsidR="00935B09">
        <w:t>(</w:t>
      </w:r>
      <w:r w:rsidR="00725D81">
        <w:t>c</w:t>
      </w:r>
      <w:r w:rsidR="002B32F9">
        <w:t>2006</w:t>
      </w:r>
      <w:r w:rsidR="00935B09">
        <w:t>)</w:t>
      </w:r>
      <w:r w:rsidR="00EE4DAC">
        <w:t xml:space="preserve"> </w:t>
      </w:r>
      <w:r w:rsidR="002B32F9">
        <w:t xml:space="preserve">study </w:t>
      </w:r>
      <w:r w:rsidR="00C1597C">
        <w:t xml:space="preserve">of commodity-equity correlations </w:t>
      </w:r>
      <w:r w:rsidR="00935B09">
        <w:t>from 1959 to 2004</w:t>
      </w:r>
      <w:r w:rsidR="008D5402">
        <w:t xml:space="preserve">. </w:t>
      </w:r>
      <w:r w:rsidR="00CC7221">
        <w:t>Over the next decade</w:t>
      </w:r>
      <w:r w:rsidR="00935B09">
        <w:t>, commodities such as crude oil experienced</w:t>
      </w:r>
      <w:r w:rsidR="00CC7221">
        <w:t xml:space="preserve"> an</w:t>
      </w:r>
      <w:r w:rsidR="00935B09">
        <w:t xml:space="preserve"> unprecedented b</w:t>
      </w:r>
      <w:r w:rsidR="00CC7221">
        <w:t>oom-bust cycle</w:t>
      </w:r>
      <w:r w:rsidR="00935B09">
        <w:t xml:space="preserve"> along with the equity market</w:t>
      </w:r>
      <w:r w:rsidR="00725D81">
        <w:t xml:space="preserve"> (</w:t>
      </w:r>
      <w:proofErr w:type="spellStart"/>
      <w:r w:rsidR="00725D81">
        <w:t>cFattouh</w:t>
      </w:r>
      <w:proofErr w:type="spellEnd"/>
      <w:r w:rsidR="00725D81">
        <w:t>, Kilian and Mahadeva, 201</w:t>
      </w:r>
      <w:r w:rsidR="00C80945">
        <w:t>3</w:t>
      </w:r>
      <w:r w:rsidR="00725D81">
        <w:t>)</w:t>
      </w:r>
      <w:r w:rsidR="00935B09">
        <w:t xml:space="preserve">, </w:t>
      </w:r>
      <w:r w:rsidR="00D73497">
        <w:t xml:space="preserve">leading </w:t>
      </w:r>
      <w:r w:rsidR="00C21E2E">
        <w:t>academics t</w:t>
      </w:r>
      <w:r w:rsidR="002C4DF1">
        <w:t>o find that</w:t>
      </w:r>
      <w:r w:rsidR="001A5617">
        <w:t xml:space="preserve"> </w:t>
      </w:r>
      <w:r w:rsidR="002C4DF1">
        <w:t xml:space="preserve">the </w:t>
      </w:r>
      <w:r w:rsidR="001A5617">
        <w:t>commodity</w:t>
      </w:r>
      <w:r w:rsidR="0002450A">
        <w:t>-equity</w:t>
      </w:r>
      <w:r w:rsidR="001A5617">
        <w:t xml:space="preserve"> correlation </w:t>
      </w:r>
      <w:r w:rsidR="000A7BE1">
        <w:t xml:space="preserve">has </w:t>
      </w:r>
      <w:r w:rsidR="002C4DF1">
        <w:t>increased</w:t>
      </w:r>
      <w:r w:rsidR="00EE4DAC">
        <w:t xml:space="preserve"> (</w:t>
      </w:r>
      <w:proofErr w:type="spellStart"/>
      <w:r w:rsidR="002C4DF1">
        <w:t>c</w:t>
      </w:r>
      <w:r w:rsidR="00EE4DAC">
        <w:t>Tang</w:t>
      </w:r>
      <w:proofErr w:type="spellEnd"/>
      <w:r w:rsidR="00EE4DAC">
        <w:t xml:space="preserve"> and </w:t>
      </w:r>
      <w:proofErr w:type="spellStart"/>
      <w:r w:rsidR="00EE4DAC">
        <w:t>Xiong</w:t>
      </w:r>
      <w:proofErr w:type="spellEnd"/>
      <w:r w:rsidR="00EE4DAC">
        <w:t>, 2012</w:t>
      </w:r>
      <w:r w:rsidR="002C4DF1">
        <w:t xml:space="preserve">; </w:t>
      </w:r>
      <w:proofErr w:type="spellStart"/>
      <w:r w:rsidR="002C4DF1">
        <w:t>cSilvennoinen</w:t>
      </w:r>
      <w:proofErr w:type="spellEnd"/>
      <w:r w:rsidR="002C4DF1">
        <w:t xml:space="preserve"> and Thorp</w:t>
      </w:r>
      <w:r w:rsidR="00EE4DAC">
        <w:t>)</w:t>
      </w:r>
      <w:r w:rsidR="00086426">
        <w:t>.</w:t>
      </w:r>
      <w:r w:rsidR="00715A59">
        <w:t xml:space="preserve"> </w:t>
      </w:r>
      <w:r w:rsidR="00086426">
        <w:t xml:space="preserve">This paper continues </w:t>
      </w:r>
      <w:r w:rsidR="00EE4DAC">
        <w:t xml:space="preserve">in that spirit of uncovering time-trends in the </w:t>
      </w:r>
      <w:r w:rsidR="00EE4DAC">
        <w:lastRenderedPageBreak/>
        <w:t>commodity</w:t>
      </w:r>
      <w:r w:rsidR="0002450A">
        <w:t>-equity</w:t>
      </w:r>
      <w:r w:rsidR="00EE4DAC">
        <w:t xml:space="preserve"> relationship, </w:t>
      </w:r>
      <w:r w:rsidR="00D21889">
        <w:t xml:space="preserve">and may be placed in context </w:t>
      </w:r>
      <w:r w:rsidR="00311EC1">
        <w:t>with</w:t>
      </w:r>
      <w:r w:rsidR="00D21889">
        <w:t xml:space="preserve"> prior literature on commodity market </w:t>
      </w:r>
      <w:r w:rsidR="00EE4DAC">
        <w:t>financialization</w:t>
      </w:r>
      <w:r w:rsidR="00715A59">
        <w:t xml:space="preserve">. </w:t>
      </w:r>
    </w:p>
    <w:p w14:paraId="0BF3AA0F" w14:textId="0C30A789"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2C4DF1">
        <w:t>it was inducing a</w:t>
      </w:r>
      <w:r w:rsidR="00CC7221">
        <w:t xml:space="preserve"> speculative </w:t>
      </w:r>
      <w:r w:rsidR="0002450A">
        <w:t>fervour</w:t>
      </w:r>
      <w:r w:rsidR="00CC7221">
        <w:t xml:space="preserve"> that was distorting </w:t>
      </w:r>
      <w:r w:rsidR="002C4DF1">
        <w:t xml:space="preserve">the </w:t>
      </w:r>
      <w:r w:rsidR="00CC7221">
        <w:t>markets</w:t>
      </w:r>
      <w:r w:rsidR="000A7BE1">
        <w:t xml:space="preserve"> </w:t>
      </w:r>
      <w:r w:rsidR="00C21E2E">
        <w:t>(</w:t>
      </w:r>
      <w:proofErr w:type="spellStart"/>
      <w:r w:rsidR="00E335CB">
        <w:t>c</w:t>
      </w:r>
      <w:r w:rsidR="00C21E2E">
        <w:t>Brown</w:t>
      </w:r>
      <w:proofErr w:type="spellEnd"/>
      <w:r w:rsidR="00C21E2E">
        <w:t xml:space="preserve"> and Sarkozy, </w:t>
      </w:r>
      <w:r w:rsidR="00E335CB">
        <w:t>2009)</w:t>
      </w:r>
      <w:r w:rsidR="000A7BE1">
        <w:t>. However,</w:t>
      </w:r>
      <w:r w:rsidR="00E335CB">
        <w:t xml:space="preserve"> both financialization and speculation </w:t>
      </w:r>
      <w:r w:rsidR="000A7BE1">
        <w:t>remain</w:t>
      </w:r>
      <w:r w:rsidR="00E335CB">
        <w:t xml:space="preserve"> </w:t>
      </w:r>
      <w:r w:rsidR="001F136F">
        <w:t>ambiguous</w:t>
      </w:r>
      <w:r w:rsidR="00E335CB">
        <w:t xml:space="preserve"> terms that </w:t>
      </w:r>
      <w:r w:rsidR="001120C4">
        <w:t>ha</w:t>
      </w:r>
      <w:r w:rsidR="00D21889">
        <w:t>ve</w:t>
      </w:r>
      <w:r w:rsidR="001120C4">
        <w:t xml:space="preserve"> been inconsistently </w:t>
      </w:r>
      <w:r w:rsidR="00D21889">
        <w:t>employed</w:t>
      </w:r>
      <w:r w:rsidR="001120C4">
        <w:t xml:space="preserve"> by academics and policy makers</w:t>
      </w:r>
      <w:r w:rsidR="000A7BE1">
        <w:t xml:space="preserve"> (</w:t>
      </w:r>
      <w:proofErr w:type="spellStart"/>
      <w:r w:rsidR="000A7BE1">
        <w:t>cFattouh</w:t>
      </w:r>
      <w:proofErr w:type="spellEnd"/>
      <w:r w:rsidR="000A7BE1">
        <w:t xml:space="preserve">, Kilian and Mahadeva, 2013). This paper will </w:t>
      </w:r>
      <w:r w:rsidR="00D27DCF">
        <w:t>follow</w:t>
      </w:r>
      <w:r w:rsidR="000A7BE1">
        <w:t xml:space="preserve"> the </w:t>
      </w:r>
      <w:r w:rsidR="008F2DC1">
        <w:t>definition</w:t>
      </w:r>
      <w:r w:rsidR="002C4DF1">
        <w:t xml:space="preserve"> for financialization</w:t>
      </w:r>
      <w:r w:rsidR="008F2DC1">
        <w:t xml:space="preserve"> adopted by Fattouh, Kilian and Mahadeva, </w:t>
      </w:r>
      <w:r w:rsidR="00715A59">
        <w:t xml:space="preserve">such that financialization is ‘the increasing acceptance of [commodity] derivatives as a financial asset by a wide range of market </w:t>
      </w:r>
      <w:proofErr w:type="gramStart"/>
      <w:r w:rsidR="00715A59">
        <w:t>participants’</w:t>
      </w:r>
      <w:proofErr w:type="gramEnd"/>
      <w:r w:rsidR="00715A59">
        <w:t xml:space="preserve">. </w:t>
      </w:r>
    </w:p>
    <w:p w14:paraId="0C4B51DE" w14:textId="72FA3D81"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w:t>
      </w:r>
      <w:r w:rsidR="009466B2">
        <w:t>se actions do not fit traditional norms,</w:t>
      </w:r>
      <w:r>
        <w:t xml:space="preserve"> though that </w:t>
      </w:r>
      <w:r w:rsidR="009466B2">
        <w:t xml:space="preserve">has proven </w:t>
      </w:r>
      <w:r>
        <w:t>challeng</w:t>
      </w:r>
      <w:r w:rsidR="009466B2">
        <w:t>ing</w:t>
      </w:r>
      <w:r>
        <w:t>.</w:t>
      </w:r>
      <w:r w:rsidR="008D3F23">
        <w:t xml:space="preserve"> </w:t>
      </w:r>
      <w:r w:rsidR="002C4DF1">
        <w:t>Commodity spot and futures markets were created to facilitate immediate consumption and hedging (Masters 2008), but d</w:t>
      </w:r>
      <w:r w:rsidR="00F61131">
        <w:t xml:space="preserve">efining </w:t>
      </w:r>
      <w:r>
        <w:t xml:space="preserve">speculation </w:t>
      </w:r>
      <w:r w:rsidR="009466B2">
        <w:t>as</w:t>
      </w:r>
      <w:r w:rsidR="007F11A2">
        <w:t xml:space="preserve"> </w:t>
      </w:r>
      <w:r w:rsidR="009466B2">
        <w:t xml:space="preserve">forward-looking actions </w:t>
      </w:r>
      <w:r w:rsidR="008D3F23">
        <w:t>i</w:t>
      </w:r>
      <w:r w:rsidR="00060EB2">
        <w:t>s</w:t>
      </w:r>
      <w:r w:rsidR="009466B2">
        <w:t xml:space="preserve"> too broad</w:t>
      </w:r>
      <w:r w:rsidR="00E61471">
        <w:t xml:space="preserve"> for our purposes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w:t>
      </w:r>
      <w:r w:rsidR="00412035">
        <w:t>expectation</w:t>
      </w:r>
      <w:r w:rsidR="00235B6D">
        <w:t xml:space="preserve">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w:t>
      </w:r>
      <w:proofErr w:type="gramStart"/>
      <w:r w:rsidR="00A93A37">
        <w:t>considered,</w:t>
      </w:r>
      <w:proofErr w:type="gramEnd"/>
      <w:r w:rsidR="00A93A37">
        <w:t xml:space="preserve"> this paper </w:t>
      </w:r>
      <w:r w:rsidR="007B6CF6">
        <w:t xml:space="preserve">will follow </w:t>
      </w:r>
      <w:r w:rsidR="00A93A37">
        <w:t>Working’s (</w:t>
      </w:r>
      <w:r w:rsidR="00E515FA">
        <w:t>c</w:t>
      </w:r>
      <w:r w:rsidR="00A93A37">
        <w:t xml:space="preserve">1960) definition of speculation as the </w:t>
      </w:r>
      <w:r w:rsidR="000E64D9">
        <w:t>volume of</w:t>
      </w:r>
      <w:r w:rsidR="00A93A37">
        <w:t xml:space="preserve"> futures </w:t>
      </w:r>
      <w:r w:rsidR="000E64D9">
        <w:t>trading</w:t>
      </w:r>
      <w:r w:rsidR="00A93A37">
        <w:t xml:space="preserve"> </w:t>
      </w:r>
      <w:r w:rsidR="000E64D9">
        <w:t>in excess of what is</w:t>
      </w:r>
      <w:r w:rsidR="00A93A37">
        <w:t xml:space="preserve">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48851FA7" w14:textId="77777777" w:rsidR="000E64D9" w:rsidRDefault="0025161C" w:rsidP="004C028E">
      <w:r>
        <w:t>Overall, the</w:t>
      </w:r>
      <w:r w:rsidR="001E3281">
        <w:t xml:space="preserve"> effect of increased speculation</w:t>
      </w:r>
      <w:r w:rsidR="0002450A">
        <w:t xml:space="preserve"> falls roughly into</w:t>
      </w:r>
      <w:r w:rsidR="001E3281">
        <w:t xml:space="preserve"> three main theories</w:t>
      </w:r>
      <w:r w:rsidR="0002450A">
        <w:t xml:space="preserve"> in the literature</w:t>
      </w:r>
      <w:r w:rsidR="001E3281">
        <w:t>. First is the idea that speculation is associated with mispricing</w:t>
      </w:r>
      <w:r w:rsidR="00DB63FB">
        <w:t xml:space="preserve"> in </w:t>
      </w:r>
      <w:r w:rsidR="00DB63FB">
        <w:lastRenderedPageBreak/>
        <w:t>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dimension.</w:t>
      </w:r>
      <w:r w:rsidR="007767E3">
        <w:t xml:space="preserve"> Opposingly, another view is that</w:t>
      </w:r>
      <w:r w:rsidR="0070040B">
        <w:t xml:space="preserve"> an influx of speculators improves the </w:t>
      </w:r>
      <w:r w:rsidR="000108FE">
        <w:t xml:space="preserve">market’s information discovery mechanism, allowing for </w:t>
      </w:r>
      <w:r w:rsidR="004854DC">
        <w:t>new</w:t>
      </w:r>
      <w:r w:rsidR="000108FE">
        <w:t xml:space="preserve"> </w:t>
      </w:r>
      <w:r w:rsidR="00DB63FB">
        <w:t xml:space="preserve">information to be </w:t>
      </w:r>
      <w:r w:rsidR="004B3D2B">
        <w:t>better aggregated and resulting in better pricing</w:t>
      </w:r>
      <w:r w:rsidR="006C006C">
        <w:t xml:space="preserve"> </w:t>
      </w:r>
      <w:r w:rsidR="000108FE">
        <w:t>(</w:t>
      </w:r>
      <w:proofErr w:type="spellStart"/>
      <w:r w:rsidR="000108FE">
        <w:t>cCheng</w:t>
      </w:r>
      <w:proofErr w:type="spellEnd"/>
      <w:r w:rsidR="000108FE">
        <w:t xml:space="preserve"> and </w:t>
      </w:r>
      <w:proofErr w:type="spellStart"/>
      <w:r w:rsidR="000108FE">
        <w:t>Xiong</w:t>
      </w:r>
      <w:proofErr w:type="spellEnd"/>
      <w:r w:rsidR="000108FE">
        <w:t>, 2014).</w:t>
      </w:r>
      <w:r w:rsidR="004B3D2B">
        <w:t xml:space="preserve"> The information discovery theory thus assumes speculators are rational agents, unlike the more behavioural view of speculators by the asset price bubble theory. </w:t>
      </w:r>
    </w:p>
    <w:p w14:paraId="378975B8" w14:textId="05166DF6" w:rsidR="00F465D0" w:rsidRDefault="00F465D0" w:rsidP="004C028E">
      <w:r>
        <w:t xml:space="preserve">However, both theories remain </w:t>
      </w:r>
      <w:r w:rsidR="007E23F6">
        <w:t>elusive to prove empirically</w:t>
      </w:r>
      <w:r>
        <w:t xml:space="preserve"> due to the difficulty in determining </w:t>
      </w:r>
      <w:r w:rsidR="00EB7296">
        <w:t xml:space="preserve">what makes </w:t>
      </w:r>
      <w:r w:rsidR="00E63BFC">
        <w:t>prices</w:t>
      </w:r>
      <w:r w:rsidR="00EB7296">
        <w:t xml:space="preserve"> ‘better’ or ‘worse’</w:t>
      </w:r>
      <w:r w:rsidR="00A151D5">
        <w:t>, especially when commodit</w:t>
      </w:r>
      <w:r w:rsidR="00A602D6">
        <w:t>ies form an alternative asset class that is difficult to price via conventional models (</w:t>
      </w:r>
      <w:proofErr w:type="spellStart"/>
      <w:proofErr w:type="gramStart"/>
      <w:r w:rsidR="00A602D6">
        <w:t>cDaskalaki</w:t>
      </w:r>
      <w:proofErr w:type="spellEnd"/>
      <w:r w:rsidR="00A602D6">
        <w:t xml:space="preserve"> .</w:t>
      </w:r>
      <w:proofErr w:type="gramEnd"/>
      <w:r w:rsidR="00A602D6">
        <w:t xml:space="preserve"> ..  2014)</w:t>
      </w:r>
      <w:r>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w:t>
      </w:r>
      <w:r w:rsidR="00EB3277">
        <w:t>U</w:t>
      </w:r>
      <w:r w:rsidR="000E1F4C">
        <w:t>ndiversifiable market risk</w:t>
      </w:r>
      <w:r w:rsidR="00EB3277">
        <w:t>, or systematic risk,</w:t>
      </w:r>
      <w:r w:rsidR="000E1F4C">
        <w:t xml:space="preserve"> </w:t>
      </w:r>
      <w:r w:rsidR="00362236">
        <w:t xml:space="preserve">is </w:t>
      </w:r>
      <w:r w:rsidR="00092CAE">
        <w:t>thus shared between traditionally segmented markets.</w:t>
      </w:r>
    </w:p>
    <w:p w14:paraId="669861D6" w14:textId="495AA6C8"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5E4FAA">
        <w:t>this paper’s</w:t>
      </w:r>
      <w:r w:rsidR="007F5643">
        <w:t xml:space="preserve"> definition of speculation covers any type of activity in the futures market that is not hedging, including portfolio diversification</w:t>
      </w:r>
      <w:r w:rsidR="004A0363">
        <w:t xml:space="preserve"> using index-tracking </w:t>
      </w:r>
      <w:r w:rsidR="002F0609">
        <w:t>futures products</w:t>
      </w:r>
      <w:r w:rsidR="007F5643">
        <w: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lastRenderedPageBreak/>
        <w:t>products</w:t>
      </w:r>
      <w:r w:rsidR="004A0363">
        <w:t xml:space="preserve"> </w:t>
      </w:r>
      <w:r w:rsidR="00FE1653">
        <w:t>benchmarked against</w:t>
      </w:r>
      <w:r w:rsidR="004A0363">
        <w:t xml:space="preserve"> the</w:t>
      </w:r>
      <w:r w:rsidR="00C12BCF">
        <w:t xml:space="preserve"> Goldman Sachs Commodity Index, as the </w:t>
      </w:r>
      <w:r w:rsidR="008B682B">
        <w:t xml:space="preserve">cause of commodity price surges, but </w:t>
      </w:r>
      <w:r w:rsidR="002247E6">
        <w:t>captures only the partial picture</w:t>
      </w:r>
      <w:r w:rsidR="008B682B">
        <w:t xml:space="preserve"> in his assessment. </w:t>
      </w:r>
      <w:r w:rsidR="001749ED">
        <w:t xml:space="preserve">Cheng and </w:t>
      </w:r>
      <w:proofErr w:type="spellStart"/>
      <w:r w:rsidR="001749ED">
        <w:t>Xiong</w:t>
      </w:r>
      <w:proofErr w:type="spellEnd"/>
      <w:r w:rsidR="001749ED">
        <w:t xml:space="preserve"> (2014) note that subsequent papers fail to establish a linkage between </w:t>
      </w:r>
      <w:r w:rsidR="00641D51">
        <w:t>changes in index speculation volume</w:t>
      </w:r>
      <w:r w:rsidR="001749ED">
        <w:t xml:space="preserve"> and commodity </w:t>
      </w:r>
      <w:r w:rsidR="00641D51">
        <w:t>futures</w:t>
      </w:r>
      <w:r w:rsidR="001749ED">
        <w:t xml:space="preserve"> </w:t>
      </w:r>
      <w:r w:rsidR="009B1499">
        <w:t>returns</w:t>
      </w:r>
      <w:r w:rsidR="00E63BFC">
        <w:t>,</w:t>
      </w:r>
      <w:r w:rsidR="00E81127">
        <w:t xml:space="preserve"> </w:t>
      </w:r>
      <w:r w:rsidR="00E63BFC">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 xml:space="preserve">integration of </w:t>
      </w:r>
      <w:r w:rsidR="009B1499">
        <w:t>returns</w:t>
      </w:r>
      <w:r w:rsidR="001749ED">
        <w:t xml:space="preserve"> with previously segmented markets</w:t>
      </w:r>
      <w:r w:rsidR="002247E6">
        <w:t xml:space="preserve">, including between </w:t>
      </w:r>
      <w:r w:rsidR="009B1499">
        <w:t xml:space="preserve">different </w:t>
      </w:r>
      <w:r w:rsidR="002247E6">
        <w:t>commodit</w:t>
      </w:r>
      <w:r w:rsidR="009B1499">
        <w:t>y</w:t>
      </w:r>
      <w:r w:rsidR="00641D51">
        <w:t xml:space="preserve"> sectors</w:t>
      </w:r>
      <w:r w:rsidR="002247E6">
        <w:t xml:space="preserve">. </w:t>
      </w:r>
      <w:r w:rsidR="00617B93">
        <w:t xml:space="preserve">It has since been generally accepted that </w:t>
      </w:r>
      <w:r w:rsidR="00A32B42">
        <w:t xml:space="preserve">institutional </w:t>
      </w:r>
      <w:r w:rsidR="00617B93">
        <w:t xml:space="preserve">index </w:t>
      </w:r>
      <w:r w:rsidR="00F10721">
        <w:t>speculation</w:t>
      </w:r>
      <w:r w:rsidR="00617B93">
        <w:t xml:space="preserve"> is the main cause of risk sharing (</w:t>
      </w:r>
      <w:proofErr w:type="spellStart"/>
      <w:r w:rsidR="00CD44E0">
        <w:t>cBasak</w:t>
      </w:r>
      <w:proofErr w:type="spellEnd"/>
      <w:r w:rsidR="00CD44E0">
        <w:t xml:space="preserve"> and </w:t>
      </w:r>
      <w:proofErr w:type="spellStart"/>
      <w:r w:rsidR="00CD44E0">
        <w:t>Pavolova</w:t>
      </w:r>
      <w:proofErr w:type="spellEnd"/>
      <w:r w:rsidR="00CD44E0">
        <w:t>, 2016)</w:t>
      </w:r>
      <w:r w:rsidR="005C617A">
        <w:t>.</w:t>
      </w:r>
    </w:p>
    <w:p w14:paraId="5EAFD6F2" w14:textId="6853240E" w:rsidR="00B03F4F" w:rsidRDefault="004F3A6D" w:rsidP="004C028E">
      <w:r>
        <w:t>This paper will</w:t>
      </w:r>
      <w:r w:rsidR="00412035">
        <w:t xml:space="preserve"> conduct empirical studies on</w:t>
      </w:r>
      <w:r w:rsidR="001120C4">
        <w:t xml:space="preserve"> commodity-equity</w:t>
      </w:r>
      <w:r w:rsidR="00EB3277">
        <w:t xml:space="preserve"> </w:t>
      </w:r>
      <w:r w:rsidR="00F10721">
        <w:t>risk sharing</w:t>
      </w:r>
      <w:r w:rsidR="001120C4">
        <w:t xml:space="preserve"> to determine whether the theory of index speculation holds</w:t>
      </w:r>
      <w:r w:rsidR="005C617A">
        <w:t xml:space="preserve">, </w:t>
      </w:r>
      <w:r w:rsidR="001120C4">
        <w:t>as well as determine its implications for individual commodities</w:t>
      </w:r>
      <w:r w:rsidR="005C617A">
        <w:t>. However, i</w:t>
      </w:r>
      <w:r w:rsidR="00D55F53">
        <w:t xml:space="preserve">nstead of testing </w:t>
      </w:r>
      <w:r w:rsidR="005E2F60">
        <w:t>the linearity of</w:t>
      </w:r>
      <w:r w:rsidR="00F10721">
        <w:t xml:space="preserve"> </w:t>
      </w:r>
      <w:r w:rsidR="00D55F53">
        <w:t xml:space="preserve">integration using rolling correlation, a </w:t>
      </w:r>
      <w:r w:rsidR="001649FA">
        <w:t>systematic risk</w:t>
      </w:r>
      <w:r w:rsidR="00D55F53">
        <w:t xml:space="preserve"> approach w</w:t>
      </w:r>
      <w:r w:rsidR="00412035">
        <w:t>i</w:t>
      </w:r>
      <w:r w:rsidR="00D55F53">
        <w:t>ll be used where</w:t>
      </w:r>
      <w:r w:rsidR="000D5543">
        <w:t xml:space="preserve"> </w:t>
      </w:r>
      <w:r w:rsidR="001649FA">
        <w:t xml:space="preserve">co-movement </w:t>
      </w:r>
      <w:r w:rsidR="000D5543">
        <w:t>coefficients are</w:t>
      </w:r>
      <w:r w:rsidR="00D55F53">
        <w:t xml:space="preserve"> </w:t>
      </w:r>
      <w:r w:rsidR="00FB546F">
        <w:t>estimated</w:t>
      </w:r>
      <w:r w:rsidR="00D55F53">
        <w:t xml:space="preserve"> using Kalman filters</w:t>
      </w:r>
      <w:r w:rsidR="00412035">
        <w:t xml:space="preserve"> for each discrete time-step</w:t>
      </w:r>
      <w:r w:rsidR="00D55F53">
        <w:t xml:space="preserve">. </w:t>
      </w:r>
      <w:r w:rsidR="00EB3277">
        <w:t xml:space="preserve">This approach is motivated by literature </w:t>
      </w:r>
      <w:r w:rsidR="005E2F60">
        <w:t>that</w:t>
      </w:r>
      <w:r w:rsidR="00EB3277">
        <w:t xml:space="preserve"> </w:t>
      </w:r>
      <w:r w:rsidR="001649FA">
        <w:t>suggest</w:t>
      </w:r>
      <w:r w:rsidR="00EB3277">
        <w:t xml:space="preserve"> the time-varying nature of systematic risk</w:t>
      </w:r>
      <w:r w:rsidR="005E2F60">
        <w:t xml:space="preserve"> (</w:t>
      </w:r>
      <w:proofErr w:type="spellStart"/>
      <w:r w:rsidR="005E2F60">
        <w:t>cDaskalaki</w:t>
      </w:r>
      <w:proofErr w:type="spellEnd"/>
      <w:r w:rsidR="005E2F60">
        <w:t xml:space="preserve"> blah </w:t>
      </w:r>
      <w:proofErr w:type="spellStart"/>
      <w:r w:rsidR="005E2F60">
        <w:t>blaah</w:t>
      </w:r>
      <w:proofErr w:type="spellEnd"/>
      <w:r w:rsidR="005E2F60">
        <w:t xml:space="preserve">; </w:t>
      </w:r>
      <w:proofErr w:type="spellStart"/>
      <w:r w:rsidR="005E2F60">
        <w:t>cIslemeiyyeh</w:t>
      </w:r>
      <w:proofErr w:type="spellEnd"/>
      <w:r w:rsidR="005E2F60">
        <w:t xml:space="preserve"> forthcoming)</w:t>
      </w:r>
      <w:r w:rsidR="001649FA">
        <w:t xml:space="preserve">, with </w:t>
      </w:r>
      <w:r w:rsidR="005E2F60">
        <w:t xml:space="preserve">Kalman filtering </w:t>
      </w:r>
      <w:r w:rsidR="001649FA">
        <w:t>already</w:t>
      </w:r>
      <w:r w:rsidR="000D5543">
        <w:t xml:space="preserve"> </w:t>
      </w:r>
      <w:r w:rsidR="005E2F60">
        <w:t xml:space="preserve">established in equity market literature as a suitable </w:t>
      </w:r>
      <w:r w:rsidR="001649FA">
        <w:t>estimator of time-variance</w:t>
      </w:r>
      <w:r w:rsidR="005E2F60">
        <w:t xml:space="preserve"> </w:t>
      </w:r>
      <w:r w:rsidR="000D5543">
        <w:t>(</w:t>
      </w:r>
      <w:proofErr w:type="spellStart"/>
      <w:r w:rsidR="000D5543">
        <w:t>c</w:t>
      </w:r>
      <w:r w:rsidR="003B6B08">
        <w:t>Faff</w:t>
      </w:r>
      <w:proofErr w:type="spellEnd"/>
      <w:r w:rsidR="003B6B08">
        <w:t xml:space="preserve">, Hillier and Hillier, 2003; </w:t>
      </w:r>
      <w:r w:rsidR="000D5543">
        <w:t>Renzi-Ricci, 2016)</w:t>
      </w:r>
      <w:r w:rsidR="005E2F60">
        <w:t>. In the estimation of systematic risk coefficients</w:t>
      </w:r>
      <w:r w:rsidR="000C2815">
        <w:t xml:space="preserve"> using monthly data from 1986 to 2021</w:t>
      </w:r>
      <w:r w:rsidR="00E81127">
        <w:t>, this paper hopes to give a more</w:t>
      </w:r>
      <w:r w:rsidR="000C2815">
        <w:t xml:space="preserve"> direct and</w:t>
      </w:r>
      <w:r w:rsidR="00E81127">
        <w:t xml:space="preserve"> comprehensive picture of </w:t>
      </w:r>
      <w:r w:rsidR="009F602B">
        <w:t>t</w:t>
      </w:r>
      <w:r w:rsidR="00EB3277">
        <w:t>rends in</w:t>
      </w:r>
      <w:r w:rsidR="009F602B">
        <w:t xml:space="preserve"> </w:t>
      </w:r>
      <w:r w:rsidR="00E81127">
        <w:t xml:space="preserve">commodity-equity </w:t>
      </w:r>
      <w:r w:rsidR="005E2F60">
        <w:t>risk sharing</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185D77E2" w:rsidR="00E81127" w:rsidRDefault="00E81127" w:rsidP="004C028E">
      <w:r>
        <w:t>The structure of this paper shall be as follows</w:t>
      </w:r>
      <w:r w:rsidR="00E61471">
        <w:t>. Section 2 will place the motivation and methodology of this paper within prior literature. Section 3 will sketch a linear model for systematic risk and its state space transformation, followed by an explanation of the implementation strategy and data collection in Section 4. Section 5 will discuss</w:t>
      </w:r>
      <w:r w:rsidR="00321BB9">
        <w:t xml:space="preserve"> </w:t>
      </w:r>
      <w:r w:rsidR="00321BB9">
        <w:lastRenderedPageBreak/>
        <w:t>the results found, ultimately concluding in Section 6 that while increased commodity-equity risk sharing exists at the index level, there is an inconclusive effect on individual commodities.</w:t>
      </w:r>
    </w:p>
    <w:p w14:paraId="1A58EADB" w14:textId="6D06FA29" w:rsidR="00D5463D" w:rsidRDefault="00D5463D" w:rsidP="00D5463D">
      <w:pPr>
        <w:pStyle w:val="ListParagraph"/>
        <w:numPr>
          <w:ilvl w:val="0"/>
          <w:numId w:val="3"/>
        </w:numPr>
      </w:pPr>
      <w:r>
        <w:t>Literature Review</w:t>
      </w:r>
    </w:p>
    <w:p w14:paraId="5EACCF63" w14:textId="11403BBA" w:rsidR="00CD7ADF" w:rsidRDefault="00CD7ADF" w:rsidP="00D5463D">
      <w:r>
        <w:t>Having already explored the linkage between financialization</w:t>
      </w:r>
      <w:r w:rsidR="008D3F23">
        <w:t>, speculation</w:t>
      </w:r>
      <w:r>
        <w:t xml:space="preserve"> and risk sharing, this section will </w:t>
      </w:r>
      <w:r w:rsidR="00EC7C6B">
        <w:t>provide context on</w:t>
      </w:r>
      <w:r>
        <w:t xml:space="preserve"> the motivation behind th</w:t>
      </w:r>
      <w:r w:rsidR="00EC7C6B">
        <w:t>is paper’s</w:t>
      </w:r>
      <w:r>
        <w:t xml:space="preserve"> </w:t>
      </w:r>
      <w:r w:rsidR="00EC7C6B">
        <w:t>focus on</w:t>
      </w:r>
      <w:r>
        <w:t xml:space="preserve"> systematic risk. A methodological survey will also be conducted in choosing the Kalman filter, as well as its linear model specification.</w:t>
      </w:r>
    </w:p>
    <w:p w14:paraId="3FB7FA78" w14:textId="6DF04BFB" w:rsidR="00D5463D" w:rsidRDefault="00D5463D" w:rsidP="00D5463D">
      <w:r>
        <w:t xml:space="preserve">Previous literature has focused </w:t>
      </w:r>
      <w:r w:rsidR="00DE7EB9">
        <w:t xml:space="preserve">mainly </w:t>
      </w:r>
      <w:r>
        <w:t xml:space="preserve">on the correlation </w:t>
      </w:r>
      <w:r w:rsidR="000E64D9">
        <w:t>between</w:t>
      </w:r>
      <w:r>
        <w:t xml:space="preserve"> commodity and equity markets</w:t>
      </w:r>
      <w:r w:rsidR="000C2815">
        <w:t xml:space="preserve"> </w:t>
      </w:r>
      <w:r w:rsidR="00035846">
        <w:t>as a general test for integration</w:t>
      </w:r>
      <w:r>
        <w:t>.</w:t>
      </w:r>
      <w:r w:rsidR="00184EA5">
        <w:t xml:space="preserve"> Gorton and </w:t>
      </w:r>
      <w:proofErr w:type="spellStart"/>
      <w:r w:rsidR="00184EA5">
        <w:t>Rouwenhorst</w:t>
      </w:r>
      <w:proofErr w:type="spellEnd"/>
      <w:r w:rsidR="00184EA5">
        <w:t xml:space="preserve"> (2006)</w:t>
      </w:r>
      <w:r w:rsidR="00176AFC">
        <w:t xml:space="preserve"> computed the correlation between and equally-weighted commodity index and the S\</w:t>
      </w:r>
      <w:r w:rsidR="000C6058">
        <w:t>&amp;</w:t>
      </w:r>
      <w:r w:rsidR="00176AFC">
        <w:t xml:space="preserve">P 500 using data from 1959 to 2004, ultimately finding returns to be negatively correlated overall. However, as </w:t>
      </w:r>
      <w:r w:rsidR="004103F1">
        <w:t>noted</w:t>
      </w:r>
      <w:r w:rsidR="00176AFC">
        <w:t xml:space="preserve"> in the introduction, new evidence came to</w:t>
      </w:r>
      <w:r w:rsidR="000C6058">
        <w:t xml:space="preserve"> light</w:t>
      </w:r>
      <w:r w:rsidR="00176AFC">
        <w:t xml:space="preserve"> later</w:t>
      </w:r>
      <w:r w:rsidR="000C6058">
        <w:t xml:space="preserve"> as market dynamics changed. </w:t>
      </w:r>
      <w:proofErr w:type="spellStart"/>
      <w:r w:rsidR="000C6058" w:rsidRPr="00E75026">
        <w:t>Büyüksahin</w:t>
      </w:r>
      <w:proofErr w:type="spellEnd"/>
      <w:r w:rsidR="000C6058">
        <w:t xml:space="preserve">, Haigh and Robe (2010) assessed dynamic conditional correlation between </w:t>
      </w:r>
      <w:r w:rsidR="004118A1">
        <w:t>investable</w:t>
      </w:r>
      <w:r w:rsidR="000C6058">
        <w:t xml:space="preserve"> commodity and equity indices in the US</w:t>
      </w:r>
      <w:r w:rsidR="00825856">
        <w:t xml:space="preserve">, finding that </w:t>
      </w:r>
      <w:r w:rsidR="00311EC1">
        <w:t>while</w:t>
      </w:r>
      <w:r w:rsidR="005C1D57">
        <w:t xml:space="preserve"> correlation</w:t>
      </w:r>
      <w:r w:rsidR="00311EC1">
        <w:t>s</w:t>
      </w:r>
      <w:r w:rsidR="00825856">
        <w:t xml:space="preserve"> remain weak</w:t>
      </w:r>
      <w:r w:rsidR="00311EC1">
        <w:t xml:space="preserve"> in general</w:t>
      </w:r>
      <w:r w:rsidR="00825856">
        <w:t>, the 2008 financial crisis induced a surge in correlation. Although their study d</w:t>
      </w:r>
      <w:r w:rsidR="000E64D9">
        <w:t>oes</w:t>
      </w:r>
      <w:r w:rsidR="00825856">
        <w:t xml:space="preserve"> not give credence to the risk sharing theory overall, </w:t>
      </w:r>
      <w:proofErr w:type="spellStart"/>
      <w:r w:rsidR="00825856" w:rsidRPr="00E75026">
        <w:t>Büyüksahin</w:t>
      </w:r>
      <w:proofErr w:type="spellEnd"/>
      <w:r w:rsidR="00825856">
        <w:t>, Haigh and Robe w</w:t>
      </w:r>
      <w:r w:rsidR="00EB3C7B">
        <w:t>ere</w:t>
      </w:r>
      <w:r w:rsidR="00825856">
        <w:t xml:space="preserve"> significant in employing a dynamic time-varying approach to assessing correlation, which challenged the </w:t>
      </w:r>
      <w:r w:rsidR="00D462E0">
        <w:t xml:space="preserve">received </w:t>
      </w:r>
      <w:r w:rsidR="00825856">
        <w:t>wisdom of commodit</w:t>
      </w:r>
      <w:r w:rsidR="00EB3C7B">
        <w:t>y diversification</w:t>
      </w:r>
      <w:r w:rsidR="00825856">
        <w:t xml:space="preserve"> during market downturns.</w:t>
      </w:r>
      <w:r w:rsidR="00EB3C7B">
        <w:t xml:space="preserve"> </w:t>
      </w:r>
      <w:r w:rsidR="00980E51">
        <w:t xml:space="preserve">Tang and </w:t>
      </w:r>
      <w:proofErr w:type="spellStart"/>
      <w:r w:rsidR="00980E51">
        <w:t>Xiong</w:t>
      </w:r>
      <w:proofErr w:type="spellEnd"/>
      <w:r w:rsidR="00980E51">
        <w:t xml:space="preserve"> (2012) furthered th</w:t>
      </w:r>
      <w:r w:rsidR="00AB0B1C">
        <w:t>is time-varying approach by employing one-year rolling</w:t>
      </w:r>
      <w:r w:rsidR="005C1D57">
        <w:t xml:space="preserve"> </w:t>
      </w:r>
      <w:r w:rsidR="00AB0B1C">
        <w:t>correlation of daily returns to find an increase in commodity-equity correlatio</w:t>
      </w:r>
      <w:r w:rsidR="00FB56B4">
        <w:t xml:space="preserve">n, </w:t>
      </w:r>
      <w:r w:rsidR="00F26456">
        <w:t>and</w:t>
      </w:r>
      <w:r w:rsidR="00FB56B4">
        <w:t xml:space="preserve"> also provided evidence of increased inter-commodity correlation </w:t>
      </w:r>
      <w:r w:rsidR="008F3B7F">
        <w:t>for indexed commodities</w:t>
      </w:r>
      <w:r w:rsidR="00FB56B4">
        <w:t xml:space="preserve">. </w:t>
      </w:r>
      <w:proofErr w:type="spellStart"/>
      <w:r w:rsidR="00956C88">
        <w:t>Silvennoinen</w:t>
      </w:r>
      <w:proofErr w:type="spellEnd"/>
      <w:r w:rsidR="00956C88">
        <w:t xml:space="preserve"> and Thorp (c2013) </w:t>
      </w:r>
      <w:r w:rsidR="008F3B7F">
        <w:lastRenderedPageBreak/>
        <w:t xml:space="preserve">and </w:t>
      </w:r>
      <w:proofErr w:type="spellStart"/>
      <w:r w:rsidR="008F3B7F">
        <w:t>Basak</w:t>
      </w:r>
      <w:proofErr w:type="spellEnd"/>
      <w:r w:rsidR="008F3B7F">
        <w:t xml:space="preserve"> and Pavlova (2016) employed dynamic conditional correlation models similar to </w:t>
      </w:r>
      <w:proofErr w:type="spellStart"/>
      <w:r w:rsidR="008F3B7F" w:rsidRPr="00E75026">
        <w:t>Büyüksahin</w:t>
      </w:r>
      <w:proofErr w:type="spellEnd"/>
      <w:r w:rsidR="008F3B7F">
        <w:t xml:space="preserve">, Haigh and Robe, </w:t>
      </w:r>
      <w:r w:rsidR="00B75A96">
        <w:t>observing</w:t>
      </w:r>
      <w:r w:rsidR="008F3B7F">
        <w:t xml:space="preserve"> that</w:t>
      </w:r>
      <w:r w:rsidR="005C1D57">
        <w:t xml:space="preserve"> cross-commodity and commodity-equity volatility correlations saw a sustained increase since 2008.</w:t>
      </w:r>
    </w:p>
    <w:p w14:paraId="4EDDDC0E" w14:textId="0B8ADF50" w:rsidR="00362236" w:rsidRDefault="00E42EE2" w:rsidP="00D5463D">
      <w:r>
        <w:t>However,</w:t>
      </w:r>
      <w:r w:rsidR="00EC7C6B">
        <w:t xml:space="preserve"> </w:t>
      </w:r>
      <w:r>
        <w:t xml:space="preserve">the </w:t>
      </w:r>
      <w:r w:rsidR="000C2815">
        <w:t>strength of</w:t>
      </w:r>
      <w:r>
        <w:t xml:space="preserve"> commodity-equity integration has been questioned.</w:t>
      </w:r>
      <w:r w:rsidR="00B75A96">
        <w:t xml:space="preserve"> </w:t>
      </w:r>
      <w:proofErr w:type="spellStart"/>
      <w:r w:rsidR="00B75A96">
        <w:t>Dasklaski</w:t>
      </w:r>
      <w:proofErr w:type="spellEnd"/>
      <w:r w:rsidR="00B75A96">
        <w:t xml:space="preserve"> blah blah (</w:t>
      </w:r>
      <w:r w:rsidR="00160EAB">
        <w:t>c</w:t>
      </w:r>
      <w:r w:rsidR="00B75A96">
        <w:t xml:space="preserve">2014) finds that </w:t>
      </w:r>
      <w:r w:rsidR="0076472F">
        <w:t xml:space="preserve">equity market asset pricing models </w:t>
      </w:r>
      <w:r w:rsidR="000A5162">
        <w:t xml:space="preserve">have low </w:t>
      </w:r>
      <w:proofErr w:type="spellStart"/>
      <w:r w:rsidR="007A1209">
        <w:t>explainability</w:t>
      </w:r>
      <w:proofErr w:type="spellEnd"/>
      <w:r w:rsidR="000A5162">
        <w:t xml:space="preserve"> for</w:t>
      </w:r>
      <w:r w:rsidR="0076472F">
        <w:t xml:space="preserve"> commodity returns, concluding that </w:t>
      </w:r>
      <w:r w:rsidR="00E92E01">
        <w:t xml:space="preserve">equity and commodity markets remain segmented. </w:t>
      </w:r>
      <w:r w:rsidR="004E64EB">
        <w:t xml:space="preserve">Nevertheless, </w:t>
      </w:r>
      <w:proofErr w:type="spellStart"/>
      <w:r w:rsidR="00E92E01">
        <w:t>Dasklaski</w:t>
      </w:r>
      <w:proofErr w:type="spellEnd"/>
      <w:r w:rsidR="00E92E01">
        <w:t>,</w:t>
      </w:r>
      <w:r w:rsidR="000A5162">
        <w:t xml:space="preserve"> blah blah</w:t>
      </w:r>
      <w:r w:rsidR="004E64EB">
        <w:t>’s analysis</w:t>
      </w:r>
      <w:r w:rsidR="000A5162">
        <w:t xml:space="preserve"> </w:t>
      </w:r>
      <w:r>
        <w:t xml:space="preserve">focused </w:t>
      </w:r>
      <w:r w:rsidR="004E64EB">
        <w:t xml:space="preserve">largely </w:t>
      </w:r>
      <w:r>
        <w:t xml:space="preserve">on average levels of $R^2$ (squared </w:t>
      </w:r>
      <w:r w:rsidR="001A765E">
        <w:t>correlation</w:t>
      </w:r>
      <w:r>
        <w:t xml:space="preserve">) </w:t>
      </w:r>
      <w:r w:rsidR="001A765E">
        <w:t>in factor models, despite observing and leaving unreported</w:t>
      </w:r>
      <w:r w:rsidR="00C62AC4">
        <w:t xml:space="preserve"> </w:t>
      </w:r>
      <w:r w:rsidR="001A765E">
        <w:t xml:space="preserve">the </w:t>
      </w:r>
      <w:r w:rsidR="00C62AC4">
        <w:t xml:space="preserve">significant time variation </w:t>
      </w:r>
      <w:r w:rsidR="001A765E">
        <w:t>of</w:t>
      </w:r>
      <w:r w:rsidR="00C62AC4">
        <w:t xml:space="preserve"> </w:t>
      </w:r>
      <w:r w:rsidR="007A1209">
        <w:t xml:space="preserve">the </w:t>
      </w:r>
      <w:r w:rsidR="00C62AC4">
        <w:t>systematic risk coefficient</w:t>
      </w:r>
      <w:r w:rsidR="007A1209">
        <w:t xml:space="preserve"> $\beta$</w:t>
      </w:r>
      <w:r w:rsidR="004E64EB">
        <w:t xml:space="preserve">. As such, this paper believes </w:t>
      </w:r>
      <w:proofErr w:type="spellStart"/>
      <w:r w:rsidR="004E64EB">
        <w:t>Dasklaski</w:t>
      </w:r>
      <w:proofErr w:type="spellEnd"/>
      <w:r w:rsidR="004E64EB">
        <w:t xml:space="preserve"> blah blah’s </w:t>
      </w:r>
      <w:r w:rsidR="007A1209">
        <w:t xml:space="preserve">study is </w:t>
      </w:r>
      <w:r w:rsidR="00362236">
        <w:t xml:space="preserve">in fact </w:t>
      </w:r>
      <w:r w:rsidR="007A1209">
        <w:t xml:space="preserve">significant in recognizing the </w:t>
      </w:r>
      <w:r w:rsidR="00F26456">
        <w:t>time-varying</w:t>
      </w:r>
      <w:r w:rsidR="007A1209">
        <w:t xml:space="preserve"> systematic risk relationship, and</w:t>
      </w:r>
      <w:r w:rsidR="004E64EB">
        <w:t xml:space="preserve"> </w:t>
      </w:r>
      <w:r w:rsidR="007A1209">
        <w:t>may</w:t>
      </w:r>
      <w:r w:rsidR="004E64EB">
        <w:t xml:space="preserve"> be </w:t>
      </w:r>
      <w:r w:rsidR="00362236">
        <w:t xml:space="preserve">adjusted to test </w:t>
      </w:r>
      <w:r w:rsidR="004E64EB">
        <w:t xml:space="preserve">for </w:t>
      </w:r>
      <w:r w:rsidR="00362236">
        <w:t>the</w:t>
      </w:r>
      <w:r w:rsidR="004E64EB">
        <w:t xml:space="preserve"> risk-sharing theory of integration </w:t>
      </w:r>
      <w:r w:rsidR="007A1209">
        <w:t>through a focus on systematic risk</w:t>
      </w:r>
      <w:r w:rsidR="00362236">
        <w:t>.</w:t>
      </w:r>
    </w:p>
    <w:p w14:paraId="070341AE" w14:textId="17C10B32" w:rsidR="000E6956" w:rsidRDefault="00362236" w:rsidP="00D5463D">
      <w:r>
        <w:t>Further evidenc</w:t>
      </w:r>
      <w:r w:rsidR="00F26456">
        <w:t>e</w:t>
      </w:r>
      <w:r>
        <w:t xml:space="preserve"> of </w:t>
      </w:r>
      <w:r w:rsidR="00E1215D">
        <w:t>changes in systematic risk</w:t>
      </w:r>
      <w:r w:rsidR="00F26456">
        <w:t xml:space="preserve"> can be found in</w:t>
      </w:r>
      <w:r w:rsidR="00A90A51">
        <w:t xml:space="preserve"> risk premi</w:t>
      </w:r>
      <w:r w:rsidR="00035846">
        <w:t>a</w:t>
      </w:r>
      <w:r w:rsidR="00F26456">
        <w:t xml:space="preserve"> literature. </w:t>
      </w:r>
      <w:r w:rsidR="00A90A51">
        <w:t xml:space="preserve">Baumeister and Kilian (c2016) found that stock returns can have statistical significance when included as regressors for crude oil futures risk premium at various horizons. </w:t>
      </w:r>
      <w:proofErr w:type="spellStart"/>
      <w:r w:rsidR="00F26456" w:rsidRPr="00F26456">
        <w:t>Isleimeyyeh</w:t>
      </w:r>
      <w:proofErr w:type="spellEnd"/>
      <w:r w:rsidR="00F26456">
        <w:t xml:space="preserve"> (</w:t>
      </w:r>
      <w:proofErr w:type="spellStart"/>
      <w:r w:rsidR="00F26456">
        <w:t>cforthcoming</w:t>
      </w:r>
      <w:proofErr w:type="spellEnd"/>
      <w:r w:rsidR="00F26456">
        <w:t xml:space="preserve">) </w:t>
      </w:r>
      <w:r w:rsidR="00EC7C6B">
        <w:t xml:space="preserve">also </w:t>
      </w:r>
      <w:r w:rsidR="000C2815">
        <w:t xml:space="preserve">builds a commodity </w:t>
      </w:r>
      <w:r w:rsidR="003C6CD8">
        <w:t xml:space="preserve">futures </w:t>
      </w:r>
      <w:r w:rsidR="000C2815">
        <w:t xml:space="preserve">risk premium model using hedging pressure and </w:t>
      </w:r>
      <w:r w:rsidR="00A610D5">
        <w:t xml:space="preserve">correlation-adjusted </w:t>
      </w:r>
      <w:r w:rsidR="000C2815">
        <w:t>equity market</w:t>
      </w:r>
      <w:r w:rsidR="003C6CD8">
        <w:t xml:space="preserve"> (S\&amp;P 500) </w:t>
      </w:r>
      <w:r w:rsidR="000C2815">
        <w:t xml:space="preserve">returns, which was estimated for </w:t>
      </w:r>
      <w:r w:rsidR="00692CA6">
        <w:t xml:space="preserve">crude and heating oil over </w:t>
      </w:r>
      <w:r w:rsidR="003C6CD8">
        <w:t xml:space="preserve">sample periods of </w:t>
      </w:r>
      <w:r w:rsidR="000C2815">
        <w:t>1995-2002, 2003-2008 and 2008-2015.</w:t>
      </w:r>
      <w:r w:rsidR="003C6CD8">
        <w:t xml:space="preserve"> Although hedging pressure is </w:t>
      </w:r>
      <w:r w:rsidR="00A90A51">
        <w:t>the</w:t>
      </w:r>
      <w:r w:rsidR="003C6CD8">
        <w:t xml:space="preserve"> significant regressor</w:t>
      </w:r>
      <w:r w:rsidR="00770D64">
        <w:t xml:space="preserve"> for all periods</w:t>
      </w:r>
      <w:r w:rsidR="003C6CD8">
        <w:t xml:space="preserve">, </w:t>
      </w:r>
      <w:proofErr w:type="spellStart"/>
      <w:r w:rsidR="003C6CD8" w:rsidRPr="00F26456">
        <w:t>Isleimeyyeh</w:t>
      </w:r>
      <w:r w:rsidR="00770D64">
        <w:t>’s</w:t>
      </w:r>
      <w:proofErr w:type="spellEnd"/>
      <w:r w:rsidR="00770D64">
        <w:t xml:space="preserve"> results showed </w:t>
      </w:r>
      <w:r w:rsidR="000E6956">
        <w:t>substantial</w:t>
      </w:r>
      <w:r w:rsidR="00770D64">
        <w:t xml:space="preserve"> increase in the magnitude and statistical significance of </w:t>
      </w:r>
      <w:r w:rsidR="00255678">
        <w:t>the equity market coefficient</w:t>
      </w:r>
      <w:r w:rsidR="00283F8F">
        <w:t>, concluding</w:t>
      </w:r>
      <w:r w:rsidR="003C6CD8">
        <w:t xml:space="preserve"> that </w:t>
      </w:r>
      <w:r w:rsidR="00283F8F">
        <w:t xml:space="preserve">equity market </w:t>
      </w:r>
      <w:r w:rsidR="003C6CD8">
        <w:t xml:space="preserve">systematic risk </w:t>
      </w:r>
      <w:r w:rsidR="00283F8F">
        <w:t>is the</w:t>
      </w:r>
      <w:r w:rsidR="00A90A51">
        <w:t xml:space="preserve"> more</w:t>
      </w:r>
      <w:r w:rsidR="00283F8F">
        <w:t xml:space="preserve"> salient factor for </w:t>
      </w:r>
      <w:r w:rsidR="00D462E0">
        <w:t xml:space="preserve">oil </w:t>
      </w:r>
      <w:r w:rsidR="00283F8F">
        <w:t>futures risk premium post-2008.</w:t>
      </w:r>
    </w:p>
    <w:p w14:paraId="7961C12D" w14:textId="4799BBDE" w:rsidR="004702B7" w:rsidRDefault="00EC7C6B" w:rsidP="00D5463D">
      <w:r>
        <w:lastRenderedPageBreak/>
        <w:t>Placing this</w:t>
      </w:r>
      <w:r w:rsidR="000E6956">
        <w:t xml:space="preserve"> paper </w:t>
      </w:r>
      <w:r>
        <w:t xml:space="preserve">in context with prior literature, it </w:t>
      </w:r>
      <w:r w:rsidR="000E6956">
        <w:t xml:space="preserve">shall </w:t>
      </w:r>
      <w:r w:rsidR="00255678">
        <w:t xml:space="preserve">aim to </w:t>
      </w:r>
      <w:r w:rsidR="000E6956">
        <w:t>further</w:t>
      </w:r>
      <w:r w:rsidR="00310A06">
        <w:t xml:space="preserve"> </w:t>
      </w:r>
      <w:r>
        <w:t>past studies</w:t>
      </w:r>
      <w:r w:rsidR="00310A06">
        <w:t xml:space="preserve"> by</w:t>
      </w:r>
      <w:r w:rsidR="000E6956">
        <w:t xml:space="preserve"> </w:t>
      </w:r>
      <w:r w:rsidR="00310A06">
        <w:t>explicitly testing whether</w:t>
      </w:r>
      <w:r w:rsidR="000E6956">
        <w:t xml:space="preserve"> systematic risk </w:t>
      </w:r>
      <w:r w:rsidR="00310A06">
        <w:t>integration increase</w:t>
      </w:r>
      <w:r>
        <w:t>d</w:t>
      </w:r>
      <w:r w:rsidR="000E6956">
        <w:t xml:space="preserve"> between commodity and equity markets</w:t>
      </w:r>
      <w:r>
        <w:t xml:space="preserve"> as a result of financialization</w:t>
      </w:r>
      <w:r w:rsidR="00310A06">
        <w:t>. For such purpose, it will</w:t>
      </w:r>
      <w:r w:rsidR="000E6956">
        <w:t xml:space="preserve"> </w:t>
      </w:r>
      <w:r w:rsidR="005559E1">
        <w:t>emplo</w:t>
      </w:r>
      <w:r w:rsidR="00310A06">
        <w:t>y</w:t>
      </w:r>
      <w:r w:rsidR="005559E1">
        <w:t xml:space="preserve"> a simplified model</w:t>
      </w:r>
      <w:r w:rsidR="000E6956">
        <w:t xml:space="preserve"> such that systematic risk may be tested directly without the inclusion of other explanatory variables. In so doing, th</w:t>
      </w:r>
      <w:r w:rsidR="00A610D5">
        <w:t xml:space="preserve">is paper will not </w:t>
      </w:r>
      <w:r w:rsidR="00310A06">
        <w:t>seek to build</w:t>
      </w:r>
      <w:r w:rsidR="00A610D5">
        <w:t xml:space="preserve"> a </w:t>
      </w:r>
      <w:r w:rsidR="00A63BFD">
        <w:t xml:space="preserve">detailed </w:t>
      </w:r>
      <w:r>
        <w:t>theory</w:t>
      </w:r>
      <w:r w:rsidR="00A63BFD">
        <w:t xml:space="preserve"> of</w:t>
      </w:r>
      <w:r>
        <w:t xml:space="preserve"> risk transmission</w:t>
      </w:r>
      <w:r w:rsidR="00A63BFD">
        <w:t xml:space="preserve"> as with risk premia literature</w:t>
      </w:r>
      <w:r w:rsidR="00310A06">
        <w:t>, but</w:t>
      </w:r>
      <w:r w:rsidR="004103F1">
        <w:t xml:space="preserve"> rather</w:t>
      </w:r>
      <w:r w:rsidR="00A610D5">
        <w:t xml:space="preserve"> </w:t>
      </w:r>
      <w:r w:rsidR="005559E1">
        <w:t xml:space="preserve">provide evidence </w:t>
      </w:r>
      <w:r>
        <w:t>on the premise that capital allocation from financialization results in increased commodity-equity integration</w:t>
      </w:r>
      <w:r w:rsidR="008A7235">
        <w:t xml:space="preserve"> overall. </w:t>
      </w:r>
      <w:r w:rsidR="00321BB9">
        <w:t xml:space="preserve">For a comprehensive </w:t>
      </w:r>
      <w:r w:rsidR="004D73CA">
        <w:t>analys</w:t>
      </w:r>
      <w:r w:rsidR="00321BB9">
        <w:t>is on</w:t>
      </w:r>
      <w:r w:rsidR="004D73CA">
        <w:t xml:space="preserve"> the effects of financialization,</w:t>
      </w:r>
      <w:r w:rsidR="00310A06">
        <w:t xml:space="preserve"> this paper will</w:t>
      </w:r>
      <w:r w:rsidR="004D73CA">
        <w:t xml:space="preserve"> test for risk sharing between indices, </w:t>
      </w:r>
      <w:r w:rsidR="004103F1">
        <w:t>as well as</w:t>
      </w:r>
      <w:r w:rsidR="004D73CA">
        <w:t xml:space="preserve"> explore whether risk sharing affects individual commodities themselves. </w:t>
      </w:r>
      <w:r w:rsidR="008A7235">
        <w:t>Should a time-varying relationship be found in line with that suggested by the theory of financialization, the results of this paper may also carry modelling implications for risk premi</w:t>
      </w:r>
      <w:r w:rsidR="00035846">
        <w:t>a</w:t>
      </w:r>
      <w:r w:rsidR="008A7235">
        <w:t xml:space="preserve"> literature by reporting the changes in systematic risk sharing.</w:t>
      </w:r>
    </w:p>
    <w:p w14:paraId="39A30A82" w14:textId="22BE4B44" w:rsidR="00401F08" w:rsidRDefault="00401F08" w:rsidP="00D5463D">
      <w:r>
        <w:t xml:space="preserve">Methodology wise, this paper shall use the Kalman filter detailed by Hamilton (c1994) to estimate time-varying systematic risk in light of prior methodological comparisons. In a study of the filter’s mathematical properties with regards to rolling window regression, </w:t>
      </w:r>
      <w:proofErr w:type="spellStart"/>
      <w:r>
        <w:t>Belsley</w:t>
      </w:r>
      <w:proofErr w:type="spellEnd"/>
      <w:r>
        <w:t xml:space="preserve"> (c1973) concluded that Kalman filters are a more efficient algorithm for simple linear models, though the advantage disappears when $\beta$ is assumed to vary according to an extra linear systematic parameter. Faff, Hillier and Hillier (2003) made an empirical comparison of several types of a</w:t>
      </w:r>
      <w:r w:rsidRPr="00291923">
        <w:t>utoregressive conditional heteroskedasticit</w:t>
      </w:r>
      <w:r>
        <w:t xml:space="preserve">y models against the Kalman filter, using daily returns of equity indices for 32 different UK industry sectors. Their study found that the Kalman filter best minimizes in-sample error rates when estimating linear systematic risk, especially when a random walk assumption was made for the evolution of $\beta$. Renzi-Ricci (2016) </w:t>
      </w:r>
      <w:r w:rsidR="00035846">
        <w:t xml:space="preserve">further </w:t>
      </w:r>
      <w:r>
        <w:t xml:space="preserve">found that a random walk </w:t>
      </w:r>
      <w:r>
        <w:lastRenderedPageBreak/>
        <w:t>$\beta$ outperforms rolling regressions</w:t>
      </w:r>
      <w:r w:rsidR="00D3653C">
        <w:t xml:space="preserve"> </w:t>
      </w:r>
      <w:r w:rsidR="00555E19">
        <w:t>upon a simulation of a</w:t>
      </w:r>
      <w:r w:rsidR="00D3653C">
        <w:t xml:space="preserve"> structural shift in $\beta$</w:t>
      </w:r>
      <w:r w:rsidR="00A63BFD">
        <w:t>.</w:t>
      </w:r>
    </w:p>
    <w:p w14:paraId="795A2B45" w14:textId="4F5A5966" w:rsidR="00C37C92" w:rsidRDefault="002B6101" w:rsidP="00D5463D">
      <w:r>
        <w:t xml:space="preserve">Overall, literature suggests that the Kalman filter is the best method for estimating time-varying coefficients in a simple linear model. To dive deeper into the technicalities, formal notation will </w:t>
      </w:r>
      <w:r w:rsidR="00D462E0">
        <w:t>be needed</w:t>
      </w:r>
      <w:r>
        <w:t xml:space="preserve"> to</w:t>
      </w:r>
      <w:r w:rsidR="000E64D9">
        <w:t xml:space="preserve"> contextualize</w:t>
      </w:r>
      <w:r>
        <w:t xml:space="preserve"> the random walk $\beta$.</w:t>
      </w:r>
    </w:p>
    <w:p w14:paraId="70C30FAD" w14:textId="0A44CCC6" w:rsidR="002F0609" w:rsidRDefault="002F0609" w:rsidP="002F0609">
      <w:pPr>
        <w:pStyle w:val="ListParagraph"/>
        <w:numPr>
          <w:ilvl w:val="0"/>
          <w:numId w:val="3"/>
        </w:numPr>
      </w:pPr>
      <w:r>
        <w:t>M</w:t>
      </w:r>
      <w:r w:rsidR="008D5665">
        <w:t>odel</w:t>
      </w:r>
    </w:p>
    <w:p w14:paraId="1FACEBB5" w14:textId="6EF3C29F" w:rsidR="00DB77B4" w:rsidRDefault="00FF162D" w:rsidP="002F0609">
      <w:r>
        <w:t xml:space="preserve">In this section the </w:t>
      </w:r>
      <w:r w:rsidR="009D3420">
        <w:t xml:space="preserve">intuition behind </w:t>
      </w:r>
      <w:r w:rsidR="001067EA">
        <w:t>the linear model</w:t>
      </w:r>
      <w:r w:rsidR="0010435A">
        <w:t xml:space="preserve"> </w:t>
      </w:r>
      <w:r w:rsidR="005E4FAA">
        <w:t>used</w:t>
      </w:r>
      <w:r w:rsidR="0010435A">
        <w:t xml:space="preserve"> to test for the level of commodity-equity </w:t>
      </w:r>
      <w:r w:rsidR="0026561B">
        <w:t>systematic risk integration</w:t>
      </w:r>
      <w:r w:rsidR="005E4FAA">
        <w:t xml:space="preserve"> shall first be developed</w:t>
      </w:r>
      <w:r w:rsidR="0010435A">
        <w:t>.</w:t>
      </w:r>
      <w:r w:rsidR="009D3420">
        <w:t xml:space="preserve"> </w:t>
      </w:r>
      <w:r w:rsidR="0010435A">
        <w:t xml:space="preserve">Then, </w:t>
      </w:r>
      <w:r w:rsidR="00173C94">
        <w:t xml:space="preserve">the linear model </w:t>
      </w:r>
      <w:r w:rsidR="005E4FAA">
        <w:t xml:space="preserve">will be transformed </w:t>
      </w:r>
      <w:r w:rsidR="00173C94">
        <w:t>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w:t>
      </w:r>
      <w:r w:rsidR="00A610D5">
        <w:t>systematic risk</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23792704" w:rsidR="001067EA" w:rsidRDefault="001067EA" w:rsidP="001067EA">
      <w:pPr>
        <w:pStyle w:val="ListParagraph"/>
        <w:numPr>
          <w:ilvl w:val="0"/>
          <w:numId w:val="5"/>
        </w:numPr>
      </w:pPr>
      <w:r>
        <w:t>Linear Model</w:t>
      </w:r>
    </w:p>
    <w:p w14:paraId="4E96260F" w14:textId="5B99E6F9" w:rsidR="00803C3B" w:rsidRDefault="005E4FAA" w:rsidP="001067EA">
      <w:r>
        <w:t>The</w:t>
      </w:r>
      <w:r w:rsidR="00A610D5">
        <w:t xml:space="preserve"> underlying</w:t>
      </w:r>
      <w:r w:rsidR="008F4CD3">
        <w:t xml:space="preserve"> </w:t>
      </w:r>
      <w:r w:rsidR="0026561B">
        <w:t>linear</w:t>
      </w:r>
      <w:r w:rsidR="008F4CD3">
        <w:t xml:space="preserve"> model</w:t>
      </w:r>
      <w:r w:rsidR="00A610D5">
        <w:t xml:space="preserve"> for systematic risk</w:t>
      </w:r>
      <w:r w:rsidR="008F4CD3">
        <w:t xml:space="preserve">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A610D5">
        <w:t>Systematic risk sharing</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 xml:space="preserve">in opposite directions but with the same magnitude. A near-zero $\beta$ suggests </w:t>
      </w:r>
      <w:r w:rsidR="00B84FD2">
        <w:t>little co-movement</w:t>
      </w:r>
      <w:r>
        <w:t xml:space="preserve"> between the assets</w:t>
      </w:r>
      <w:r w:rsidR="00B84FD2">
        <w:t xml:space="preserve">. </w:t>
      </w:r>
      <w:r>
        <w:t>Hence, i</w:t>
      </w:r>
      <w:r w:rsidR="00B84FD2">
        <w:t>f two assets are integrated under the risk sharing hypothesis, a positive $\beta$</w:t>
      </w:r>
      <w:r w:rsidR="00175BA8">
        <w:t xml:space="preserve"> should exist</w:t>
      </w:r>
      <w:r w:rsidR="00B84FD2">
        <w:t xml:space="preserve">, and the level of integration will </w:t>
      </w:r>
      <w:r w:rsidR="00B84FD2">
        <w:lastRenderedPageBreak/>
        <w:t>be observable from the closeness of $\beta$ to one.</w:t>
      </w:r>
      <w:r w:rsidR="005E10D4">
        <w:t xml:space="preserve"> </w:t>
      </w:r>
      <w:r w:rsidR="00824A70">
        <w:t>Note that</w:t>
      </w:r>
      <w:r w:rsidR="00641D51">
        <w:t xml:space="preserve"> $\beta$ </w:t>
      </w:r>
      <w:r w:rsidR="00824A70">
        <w:t>beyond</w:t>
      </w:r>
      <w:r w:rsidR="00641D51">
        <w:t xml:space="preserve"> </w:t>
      </w:r>
      <w:r w:rsidR="0003695C">
        <w:t xml:space="preserve">the range </w:t>
      </w:r>
      <w:r w:rsidR="00641D51">
        <w:t>-1 and 1</w:t>
      </w:r>
      <w:r w:rsidR="00824A70">
        <w:t xml:space="preserve"> is possible</w:t>
      </w:r>
      <w:r w:rsidR="00641D51">
        <w:t xml:space="preserve">, </w:t>
      </w:r>
      <w:r w:rsidR="00824A70">
        <w:t>but it is unlikely that commodity and equity returns will be so sensitive to each other.</w:t>
      </w:r>
    </w:p>
    <w:p w14:paraId="45DB9726" w14:textId="239BAD13" w:rsidR="00AF3277" w:rsidRDefault="00AF3277" w:rsidP="001067EA">
      <w:r>
        <w:t xml:space="preserve">The benefit of </w:t>
      </w:r>
      <w:r w:rsidR="006568C9">
        <w:t>the</w:t>
      </w:r>
      <w:r>
        <w:t xml:space="preserve"> $\beta$ measure for </w:t>
      </w:r>
      <w:r w:rsidR="00A610D5">
        <w:t xml:space="preserve">risk </w:t>
      </w:r>
      <w:r>
        <w:t>integration over</w:t>
      </w:r>
      <w:r w:rsidR="00A63BFD">
        <w:t xml:space="preserve"> </w:t>
      </w:r>
      <w:r>
        <w:t>standard correlation testing</w:t>
      </w:r>
      <w:r w:rsidR="00A63BFD">
        <w:t xml:space="preserve"> prevalent in prior literature</w:t>
      </w:r>
      <w:r w:rsidR="00F60605">
        <w:t xml:space="preserve"> is that </w:t>
      </w:r>
      <w:r w:rsidR="00A63BFD">
        <w:t>$\beta$</w:t>
      </w:r>
      <w:r w:rsidR="00F60605">
        <w:t xml:space="preserve"> tests for the level of price integration more directly. C</w:t>
      </w:r>
      <w:r w:rsidR="00B004BD">
        <w:t>orrelation</w:t>
      </w:r>
      <w:r w:rsidR="00BD4B42">
        <w:t xml:space="preserve"> is a standardized form of covariance and </w:t>
      </w:r>
      <w:r w:rsidR="00B004BD">
        <w:t xml:space="preserve">only tests for the strength </w:t>
      </w:r>
      <w:r w:rsidR="00F60605">
        <w:t>the linear relationship</w:t>
      </w:r>
      <w:r w:rsidR="00ED2607">
        <w:t>, with a large positive correlation value signalling a strong positive linear relationship</w:t>
      </w:r>
      <w:r w:rsidR="00BD4B42">
        <w:t xml:space="preserve">. </w:t>
      </w:r>
      <w:r w:rsidR="00B004BD">
        <w:t>$\beta$</w:t>
      </w:r>
      <w:r w:rsidR="00BD4B42">
        <w:t>, on the other hand,</w:t>
      </w:r>
      <w:r w:rsidR="00B004BD">
        <w:t xml:space="preserve"> adjusts correlation to </w:t>
      </w:r>
      <w:r w:rsidR="00F60605">
        <w:t>test for the sensitivity of co-movement itself</w:t>
      </w:r>
      <w:r w:rsidR="00ED2C33">
        <w:t xml:space="preserve">, such that we can infer how much </w:t>
      </w:r>
      <w:r w:rsidR="00D01171">
        <w:t>$</w:t>
      </w:r>
      <w:r w:rsidR="00ED2C33">
        <w:t>y</w:t>
      </w:r>
      <w:r w:rsidR="00D01171">
        <w:t>$</w:t>
      </w:r>
      <w:r w:rsidR="00ED2C33">
        <w:t xml:space="preserve"> increases on average </w:t>
      </w:r>
      <w:r w:rsidR="00D01171">
        <w:t xml:space="preserve">with $x$ </w:t>
      </w:r>
      <w:r w:rsidR="00ED2C33">
        <w:t xml:space="preserve">given a strong positive $\beta$ for </w:t>
      </w:r>
      <w:r w:rsidR="00D01171">
        <w:t>$</w:t>
      </w:r>
      <w:r w:rsidR="00ED2C33">
        <w:t>x</w:t>
      </w:r>
      <w:r w:rsidR="00D01171">
        <w:t>$</w:t>
      </w:r>
      <w:r w:rsidR="00B004BD">
        <w:t>.</w:t>
      </w:r>
      <w:r w:rsidR="00F60605">
        <w:t xml:space="preserve"> Hence, it is possible to have a high correlation with</w:t>
      </w:r>
      <w:r w:rsidR="00BD4B42">
        <w:t xml:space="preserve"> a low</w:t>
      </w:r>
      <w:r w:rsidR="00F60605">
        <w:t xml:space="preserve"> $\beta$, and vice versa.</w:t>
      </w:r>
      <w:r w:rsidR="00BD4B42">
        <w:t xml:space="preserve"> </w:t>
      </w:r>
      <w:r w:rsidR="00A542E9">
        <w:t xml:space="preserve">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40A074FA" w14:textId="40EEFB87" w:rsidR="00BD4B42" w:rsidRDefault="00BD4B42" w:rsidP="001067EA">
      <w:r>
        <w:t>\rho = \</w:t>
      </w:r>
      <w:proofErr w:type="gramStart"/>
      <w:r>
        <w:t>frac{</w:t>
      </w:r>
      <w:proofErr w:type="gramEnd"/>
      <w:r>
        <w:t>Covariance(x, y)}{\</w:t>
      </w:r>
      <w:proofErr w:type="spellStart"/>
      <w:r>
        <w:t>sigma_y</w:t>
      </w:r>
      <w:proofErr w:type="spellEnd"/>
      <w:r>
        <w:t>\</w:t>
      </w:r>
      <w:proofErr w:type="spellStart"/>
      <w:r>
        <w:t>sigma_x</w:t>
      </w:r>
      <w:proofErr w:type="spellEnd"/>
      <w:r>
        <w:t>}</w:t>
      </w:r>
    </w:p>
    <w:p w14:paraId="210D33B2" w14:textId="50C70EED" w:rsidR="0079387D" w:rsidRDefault="0079387D" w:rsidP="001067EA">
      <w:r>
        <w:t xml:space="preserve">[\beta$ = </w:t>
      </w:r>
      <w:r w:rsidR="00111B23">
        <w:t>\rho_{</w:t>
      </w:r>
      <w:proofErr w:type="spellStart"/>
      <w:r w:rsidR="00111B23">
        <w:t>xy</w:t>
      </w:r>
      <w:proofErr w:type="spellEnd"/>
      <w:r w:rsidR="00111B23">
        <w:t>} \frac{\</w:t>
      </w:r>
      <w:proofErr w:type="spellStart"/>
      <w:r w:rsidR="00111B23">
        <w:t>sigma_</w:t>
      </w:r>
      <w:proofErr w:type="gramStart"/>
      <w:r w:rsidR="00111B23">
        <w:t>y</w:t>
      </w:r>
      <w:proofErr w:type="spellEnd"/>
      <w:r w:rsidR="00111B23">
        <w:t>}{</w:t>
      </w:r>
      <w:proofErr w:type="gramEnd"/>
      <w:r w:rsidR="00111B23">
        <w:t>\</w:t>
      </w:r>
      <w:proofErr w:type="spellStart"/>
      <w:r w:rsidR="00111B23">
        <w:t>sigma_x</w:t>
      </w:r>
      <w:proofErr w:type="spellEnd"/>
      <w:r w:rsidR="00111B23">
        <w:t>}</w:t>
      </w:r>
    </w:p>
    <w:p w14:paraId="79196F21" w14:textId="4D9D9640"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$\beta$</w:t>
      </w:r>
      <w:r w:rsidR="005E4FAA">
        <w:t xml:space="preserve"> needs</w:t>
      </w:r>
      <w:r w:rsidR="00D21659">
        <w:t xml:space="preserve"> to be expressed as a time-varying coefficient</w:t>
      </w:r>
      <w:r>
        <w:t xml:space="preserve"> for returns at different time points</w:t>
      </w:r>
      <w:r w:rsidR="00A542E9">
        <w:t xml:space="preserve">. </w:t>
      </w:r>
      <w:r w:rsidR="00536FC2">
        <w:t xml:space="preserve">To express </w:t>
      </w:r>
      <w:r w:rsidR="005E4FAA">
        <w:t>the</w:t>
      </w:r>
      <w:r w:rsidR="00536FC2">
        <w:t xml:space="preserve"> final model, </w:t>
      </w:r>
      <w:r w:rsidR="006568C9">
        <w:t>I</w:t>
      </w:r>
      <w:r w:rsidR="00EF15FF">
        <w:t xml:space="preserve"> introduce time indexing and the market</w:t>
      </w:r>
      <w:r w:rsidR="0079387D">
        <w:t xml:space="preserve"> noise variable $\epsilon$</w:t>
      </w:r>
      <w:r w:rsidR="00F5604C">
        <w:t>:</w:t>
      </w:r>
    </w:p>
    <w:p w14:paraId="7411D2BA" w14:textId="3C25C090" w:rsidR="00D21659" w:rsidRDefault="00D21659" w:rsidP="001067EA">
      <w:r>
        <w:t>[</w:t>
      </w:r>
      <w:proofErr w:type="spellStart"/>
      <w:r>
        <w:t>y_t</w:t>
      </w:r>
      <w:proofErr w:type="spellEnd"/>
      <w:r>
        <w:t xml:space="preserve"> = \</w:t>
      </w:r>
      <w:proofErr w:type="spellStart"/>
      <w:r>
        <w:t>beta_t</w:t>
      </w:r>
      <w:proofErr w:type="spellEnd"/>
      <w:r>
        <w:t xml:space="preserve"> </w:t>
      </w:r>
      <w:proofErr w:type="spellStart"/>
      <w:r>
        <w:t>x_t</w:t>
      </w:r>
      <w:proofErr w:type="spellEnd"/>
      <w:r w:rsidR="0079387D">
        <w:t xml:space="preserve"> + \</w:t>
      </w:r>
      <w:proofErr w:type="spellStart"/>
      <w:r w:rsidR="0079387D">
        <w:t>epsilon_t</w:t>
      </w:r>
      <w:proofErr w:type="spellEnd"/>
      <w:r>
        <w:t>]</w:t>
      </w:r>
    </w:p>
    <w:p w14:paraId="7376919D" w14:textId="393CBE9B" w:rsidR="00A542E9" w:rsidRDefault="00A542E9" w:rsidP="001067EA">
      <w:r>
        <w:t xml:space="preserve">For equation </w:t>
      </w:r>
      <w:r w:rsidR="00F5604C">
        <w:t>[CITE]</w:t>
      </w:r>
      <w:r>
        <w:t xml:space="preserve">, let $y$ denote commodity asset return and $x$ denote equity asset return. </w:t>
      </w:r>
      <w:r w:rsidR="00C37C92">
        <w:t xml:space="preserve">Hence for our study commodity assets will always be the dependent </w:t>
      </w:r>
      <w:r w:rsidR="00C37C92">
        <w:lastRenderedPageBreak/>
        <w:t xml:space="preserve">variable, and equity market the independent variable. </w:t>
      </w:r>
      <w:r>
        <w:t>Note that unless specified, commodity assets include commodity indices, and equity assets include equity indices, given the availability of index</w:t>
      </w:r>
      <w:r w:rsidR="00FE1653">
        <w:t xml:space="preserve"> benchmarked</w:t>
      </w:r>
      <w:r>
        <w:t xml:space="preserve"> products as discussed in the introduction.</w:t>
      </w:r>
    </w:p>
    <w:p w14:paraId="67420EFF" w14:textId="33A4B742" w:rsidR="00B422F4" w:rsidRDefault="0003695C" w:rsidP="001067EA">
      <w:r>
        <w:t>Within financial literature</w:t>
      </w:r>
      <w:r w:rsidR="00D01171">
        <w:t>, t</w:t>
      </w:r>
      <w:r w:rsidR="006568C9">
        <w:t>he</w:t>
      </w:r>
      <w:r w:rsidR="00A542E9">
        <w:t xml:space="preserve"> linear model</w:t>
      </w:r>
      <w:r w:rsidR="00C0130A">
        <w:t xml:space="preserve"> can also be derived </w:t>
      </w:r>
      <w:r w:rsidR="0026092F">
        <w:t>using</w:t>
      </w:r>
      <w:r w:rsidR="005B71AC">
        <w:t xml:space="preserve"> the</w:t>
      </w:r>
      <w:r w:rsidR="00C0130A">
        <w:t xml:space="preserve"> Capital Asset Pricing Model (CAPM)</w:t>
      </w:r>
      <w:r w:rsidR="009C2BCE">
        <w:t xml:space="preserve">. From </w:t>
      </w:r>
      <w:proofErr w:type="spellStart"/>
      <w:r w:rsidR="009C2BCE">
        <w:t>Fama</w:t>
      </w:r>
      <w:proofErr w:type="spellEnd"/>
      <w:r w:rsidR="009C2BCE">
        <w:t xml:space="preserve"> and French (c2004), the original Sharpe-Lintner CAPM is expressed as</w:t>
      </w:r>
      <w:r w:rsidR="00173E78">
        <w:t>:</w:t>
      </w:r>
    </w:p>
    <w:p w14:paraId="569C6F3B" w14:textId="7C8F5A91" w:rsidR="009C2BCE" w:rsidRDefault="009C2BCE" w:rsidP="001067EA">
      <w:r>
        <w:t>[E[</w:t>
      </w:r>
      <w:proofErr w:type="spellStart"/>
      <w:r>
        <w:t>R_i</w:t>
      </w:r>
      <w:proofErr w:type="spellEnd"/>
      <w:r>
        <w:t xml:space="preserve">] = </w:t>
      </w:r>
      <w:proofErr w:type="spellStart"/>
      <w:r>
        <w:t>R_f</w:t>
      </w:r>
      <w:proofErr w:type="spellEnd"/>
      <w:r>
        <w:t xml:space="preserve"> + (E[</w:t>
      </w:r>
      <w:proofErr w:type="spellStart"/>
      <w:r>
        <w:t>R_m</w:t>
      </w:r>
      <w:proofErr w:type="spellEnd"/>
      <w:r>
        <w:t xml:space="preserve">] – </w:t>
      </w:r>
      <w:proofErr w:type="spellStart"/>
      <w:r>
        <w:t>R_</w:t>
      </w:r>
      <w:proofErr w:type="gramStart"/>
      <w:r>
        <w:t>f</w:t>
      </w:r>
      <w:proofErr w:type="spellEnd"/>
      <w:r>
        <w:t>)\</w:t>
      </w:r>
      <w:proofErr w:type="gramEnd"/>
      <w:r>
        <w:t>beta]</w:t>
      </w:r>
    </w:p>
    <w:p w14:paraId="5E9FA5CA" w14:textId="0327CFFE" w:rsidR="0073710D" w:rsidRDefault="004B25AB" w:rsidP="001067EA">
      <w:r>
        <w:t>Where $</w:t>
      </w:r>
      <w:proofErr w:type="spellStart"/>
      <w:r>
        <w:t>R_i</w:t>
      </w:r>
      <w:proofErr w:type="spellEnd"/>
      <w:r>
        <w:t>$ is the return of a single stock, $</w:t>
      </w:r>
      <w:proofErr w:type="spellStart"/>
      <w:r>
        <w:t>R_f</w:t>
      </w:r>
      <w:proofErr w:type="spellEnd"/>
      <w:r>
        <w:t>$ is the risk free rate, and $</w:t>
      </w:r>
      <w:proofErr w:type="spellStart"/>
      <w:r>
        <w:t>R_m</w:t>
      </w:r>
      <w:proofErr w:type="spellEnd"/>
      <w:r>
        <w:t xml:space="preserve">$ is the equity market return. The CAPM model thus </w:t>
      </w:r>
      <w:r w:rsidR="00294CF0">
        <w:t>describes</w:t>
      </w:r>
      <w:r w:rsidR="00B422F4">
        <w:t xml:space="preserve"> systematic risk within the equity market such that $\beta$ represents the undiversifiable equity market risk inherent in a </w:t>
      </w:r>
      <w:r>
        <w:t>given stock</w:t>
      </w:r>
      <w:r w:rsidR="00B422F4">
        <w:t xml:space="preserve">. By altering the assumption </w:t>
      </w:r>
      <w:r w:rsidR="00B47604">
        <w:t>for</w:t>
      </w:r>
      <w:r w:rsidR="00B35669">
        <w:t xml:space="preserve"> CAPM using</w:t>
      </w:r>
      <w:r w:rsidR="00B47604">
        <w:t xml:space="preserve"> the risk sharing theory </w:t>
      </w:r>
      <w:r w:rsidR="00B422F4">
        <w:t>such that systematic risk may exist between different asset classes</w:t>
      </w:r>
      <w:r>
        <w:t xml:space="preserve">, </w:t>
      </w:r>
      <w:r w:rsidR="006568C9">
        <w:t>the</w:t>
      </w:r>
      <w:r>
        <w:t xml:space="preserve"> notation of $y$ and $x$</w:t>
      </w:r>
      <w:r w:rsidR="005E4FAA">
        <w:t xml:space="preserve"> may be retained</w:t>
      </w:r>
      <w:r>
        <w:t xml:space="preserve"> </w:t>
      </w:r>
      <w:r w:rsidR="00626627">
        <w:t>such that $</w:t>
      </w:r>
      <w:r>
        <w:t xml:space="preserve">E[y] = </w:t>
      </w:r>
      <w:proofErr w:type="spellStart"/>
      <w:r>
        <w:t>R_f</w:t>
      </w:r>
      <w:proofErr w:type="spellEnd"/>
      <w:r>
        <w:t xml:space="preserve"> + (E[x] – </w:t>
      </w:r>
      <w:proofErr w:type="spellStart"/>
      <w:r>
        <w:t>R_f</w:t>
      </w:r>
      <w:proofErr w:type="spellEnd"/>
      <w:r>
        <w:t>)\beta</w:t>
      </w:r>
      <w:r w:rsidR="00626627">
        <w:t>$</w:t>
      </w:r>
      <w:r w:rsidR="00B6674A">
        <w:t>, which results in the time-varying version of $</w:t>
      </w:r>
      <w:proofErr w:type="spellStart"/>
      <w:r w:rsidR="00B6674A">
        <w:t>y_t</w:t>
      </w:r>
      <w:proofErr w:type="spellEnd"/>
      <w:r w:rsidR="00B6674A">
        <w:t xml:space="preserve"> = R_{f, t} + (</w:t>
      </w:r>
      <w:proofErr w:type="spellStart"/>
      <w:r w:rsidR="00B6674A">
        <w:t>x_t</w:t>
      </w:r>
      <w:proofErr w:type="spellEnd"/>
      <w:r w:rsidR="00B6674A">
        <w:t xml:space="preserve"> – R_{f, t})\</w:t>
      </w:r>
      <w:proofErr w:type="spellStart"/>
      <w:r w:rsidR="00B6674A">
        <w:t>beta_t</w:t>
      </w:r>
      <w:proofErr w:type="spellEnd"/>
      <w:r w:rsidR="00536FC2">
        <w:t xml:space="preserve"> + \</w:t>
      </w:r>
      <w:proofErr w:type="spellStart"/>
      <w:r w:rsidR="00536FC2">
        <w:t>epsilon_t</w:t>
      </w:r>
      <w:proofErr w:type="spellEnd"/>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r w:rsidR="0076472F">
        <w:t xml:space="preserve"> In such a sense, the linear model used in this paper </w:t>
      </w:r>
      <w:r w:rsidR="00C62AC4">
        <w:t>is a simplified form of</w:t>
      </w:r>
      <w:r w:rsidR="0076472F">
        <w:t xml:space="preserve"> </w:t>
      </w:r>
      <w:proofErr w:type="spellStart"/>
      <w:r w:rsidR="0076472F">
        <w:t>Daskalaki</w:t>
      </w:r>
      <w:proofErr w:type="spellEnd"/>
      <w:r w:rsidR="0076472F">
        <w:t xml:space="preserve"> blah blah’s (c2014) approach to test for integration using equity pricing models</w:t>
      </w:r>
      <w:r w:rsidR="00C62AC4">
        <w:t xml:space="preserve">, which as noted by the authors necessitates a time-varying approach due to the </w:t>
      </w:r>
      <w:r w:rsidR="0003695C">
        <w:t xml:space="preserve">(unreported) </w:t>
      </w:r>
      <w:r w:rsidR="00C62AC4">
        <w:t>evolution of $\</w:t>
      </w:r>
      <w:proofErr w:type="spellStart"/>
      <w:r w:rsidR="00C62AC4">
        <w:t>beta_t</w:t>
      </w:r>
      <w:proofErr w:type="spellEnd"/>
      <w:r w:rsidR="00C62AC4">
        <w:t>$ observed</w:t>
      </w:r>
      <w:r w:rsidR="00D01171">
        <w:t>.</w:t>
      </w:r>
    </w:p>
    <w:p w14:paraId="7990EF03" w14:textId="252AB9F9" w:rsidR="0026092F" w:rsidRDefault="0026092F" w:rsidP="0026092F">
      <w:pPr>
        <w:pStyle w:val="ListParagraph"/>
        <w:numPr>
          <w:ilvl w:val="0"/>
          <w:numId w:val="5"/>
        </w:numPr>
      </w:pPr>
      <w:r>
        <w:t>State-Space Transform</w:t>
      </w:r>
    </w:p>
    <w:p w14:paraId="66EBE0E8" w14:textId="7AE65B71" w:rsidR="004103F1" w:rsidRDefault="00D34C34" w:rsidP="0026092F">
      <w:r>
        <w:lastRenderedPageBreak/>
        <w:t>Finding $\</w:t>
      </w:r>
      <w:proofErr w:type="spellStart"/>
      <w:r>
        <w:t>beta_t</w:t>
      </w:r>
      <w:proofErr w:type="spellEnd"/>
      <w:r>
        <w:t>$ is not as simple as dividing $y$ by $x$ for each $t$ due to market noise $\epsilon$,</w:t>
      </w:r>
      <w:r w:rsidR="00B35669">
        <w:t xml:space="preserve"> </w:t>
      </w:r>
      <w:r>
        <w:t>necessitat</w:t>
      </w:r>
      <w:r w:rsidR="00B35669">
        <w:t>ing</w:t>
      </w:r>
      <w:r>
        <w:t xml:space="preserve"> some consideration for how $\</w:t>
      </w:r>
      <w:proofErr w:type="spellStart"/>
      <w:r>
        <w:t>beta_t</w:t>
      </w:r>
      <w:proofErr w:type="spellEnd"/>
      <w:r>
        <w:t>$ evolves given $\beta_{t-</w:t>
      </w:r>
      <w:proofErr w:type="gramStart"/>
      <w:r>
        <w:t>1}$</w:t>
      </w:r>
      <w:proofErr w:type="gramEnd"/>
      <w:r>
        <w:t xml:space="preserve"> to separate trend from noise. </w:t>
      </w:r>
      <w:r w:rsidR="00CF5E16">
        <w:t>Hamilton (1994) details the suitability of state-space models, such as Kalman filtering, for including autoregressive assumptions while accounting for time variance.</w:t>
      </w:r>
      <w:r w:rsidR="00401F08">
        <w:t xml:space="preserve"> </w:t>
      </w:r>
      <w:r w:rsidR="00CF5E16">
        <w:t xml:space="preserve">The literature review also </w:t>
      </w:r>
      <w:r w:rsidR="004103F1">
        <w:t>suggests</w:t>
      </w:r>
      <w:r w:rsidR="00CF5E16">
        <w:t xml:space="preserve"> that the </w:t>
      </w:r>
      <w:r w:rsidR="00401F08">
        <w:t>standard Kalman filter is best approach to modelling a time-varying $\beta$ given the simplicity of the linear systematic risk model</w:t>
      </w:r>
      <w:r w:rsidR="00C37C92">
        <w:t xml:space="preserve"> used in this paper</w:t>
      </w:r>
      <w:r w:rsidR="00401F08">
        <w:t xml:space="preserve">. </w:t>
      </w:r>
    </w:p>
    <w:p w14:paraId="732D49F0" w14:textId="0F4BB859" w:rsidR="0026092F" w:rsidRDefault="00B47604" w:rsidP="0026092F">
      <w:r>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t>\</w:t>
      </w:r>
      <w:proofErr w:type="gramStart"/>
      <w:r>
        <w:t>begin</w:t>
      </w:r>
      <w:proofErr w:type="gramEnd"/>
      <w:r>
        <w:t>{verbatim}</w:t>
      </w:r>
    </w:p>
    <w:p w14:paraId="140C48D8" w14:textId="49EDEB34" w:rsidR="00FD3952" w:rsidRDefault="00794540" w:rsidP="00FD3952">
      <w:pPr>
        <w:pStyle w:val="ListParagraph"/>
        <w:numPr>
          <w:ilvl w:val="0"/>
          <w:numId w:val="7"/>
        </w:numPr>
      </w:pPr>
      <w:r>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w:t>
      </w:r>
      <w:proofErr w:type="gramStart"/>
      <w:r>
        <w:t>end</w:t>
      </w:r>
      <w:proofErr w:type="gramEnd"/>
      <w:r>
        <w:t>{verbatim}</w:t>
      </w:r>
    </w:p>
    <w:p w14:paraId="242A4537" w14:textId="40936528" w:rsidR="00BC341F" w:rsidRDefault="00DB3E2D" w:rsidP="00DB3E2D">
      <w:r>
        <w:t>$\</w:t>
      </w:r>
      <w:proofErr w:type="spellStart"/>
      <w:r>
        <w:t>beta_t</w:t>
      </w:r>
      <w:proofErr w:type="spellEnd"/>
      <w:r>
        <w:t xml:space="preserve">$ is thus </w:t>
      </w:r>
      <w:r w:rsidR="005E412D">
        <w:t>estimated by</w:t>
      </w:r>
      <w:r>
        <w:t xml:space="preserve"> posterior </w:t>
      </w:r>
      <w:r w:rsidR="005E412D">
        <w:t>values</w:t>
      </w:r>
      <w:r>
        <w:t xml:space="preserve"> for each timestep. To formalize subsequent notation, let</w:t>
      </w:r>
      <w:r w:rsidR="00CA2AA4">
        <w:t xml:space="preserve"> $\hat\</w:t>
      </w:r>
      <w:proofErr w:type="spellStart"/>
      <w:r w:rsidR="00CA2AA4">
        <w:t>beta_t</w:t>
      </w:r>
      <w:proofErr w:type="spellEnd"/>
      <w:r w:rsidR="00CA2AA4">
        <w:t>$ denote estimated $\</w:t>
      </w:r>
      <w:proofErr w:type="spellStart"/>
      <w:r w:rsidR="00CA2AA4">
        <w:t>beta_t</w:t>
      </w:r>
      <w:proofErr w:type="spellEnd"/>
      <w:r w:rsidR="00CA2AA4">
        <w:t>$ such that</w:t>
      </w:r>
      <w:r>
        <w:t xml:space="preserve"> $</w:t>
      </w:r>
      <w:r w:rsidR="005E412D">
        <w:t>\hat</w:t>
      </w:r>
      <w:r>
        <w:t>\beta_</w:t>
      </w:r>
      <w:r w:rsidR="005E412D">
        <w:t>{t|t-</w:t>
      </w:r>
      <w:proofErr w:type="gramStart"/>
      <w:r w:rsidR="005E412D">
        <w:t>1}</w:t>
      </w:r>
      <w:r>
        <w:t>$</w:t>
      </w:r>
      <w:proofErr w:type="gramEnd"/>
      <w:r>
        <w:t xml:space="preserve"> </w:t>
      </w:r>
      <w:r w:rsidR="00CA2AA4">
        <w:t>represents</w:t>
      </w:r>
      <w:r w:rsidR="005E412D">
        <w:t xml:space="preserve"> the</w:t>
      </w:r>
      <w:r>
        <w:t xml:space="preserve"> p</w:t>
      </w:r>
      <w:r w:rsidR="005E412D">
        <w:t>redicted prior</w:t>
      </w:r>
      <w:r w:rsidR="00B35669">
        <w:t xml:space="preserve"> at $t$</w:t>
      </w:r>
      <w:r w:rsidR="005E412D">
        <w:t>, and $\hat\beta{</w:t>
      </w:r>
      <w:proofErr w:type="spellStart"/>
      <w:r w:rsidR="005E412D">
        <w:t>t|t</w:t>
      </w:r>
      <w:proofErr w:type="spellEnd"/>
      <w:r w:rsidR="005E412D">
        <w:t xml:space="preserve">}$ </w:t>
      </w:r>
      <w:r w:rsidR="00CA2AA4">
        <w:t>represents</w:t>
      </w:r>
      <w:r w:rsidR="005E412D">
        <w:t xml:space="preserve"> the posterior estimates</w:t>
      </w:r>
      <w:r w:rsidR="00B35669">
        <w:t xml:space="preserve"> at $t$</w:t>
      </w:r>
      <w:r w:rsidR="005E412D">
        <w:t>. We can let $</w:t>
      </w:r>
      <w:proofErr w:type="spellStart"/>
      <w:r w:rsidR="005E412D">
        <w:t>y</w:t>
      </w:r>
      <w:r w:rsidR="00E36DD0">
        <w:t>_t</w:t>
      </w:r>
      <w:proofErr w:type="spellEnd"/>
      <w:r w:rsidR="005E412D">
        <w:t>$ and $</w:t>
      </w:r>
      <w:proofErr w:type="spellStart"/>
      <w:r w:rsidR="005E412D">
        <w:t>x</w:t>
      </w:r>
      <w:r w:rsidR="00E36DD0">
        <w:t>_t</w:t>
      </w:r>
      <w:proofErr w:type="spellEnd"/>
      <w:r w:rsidR="005E412D">
        <w:t>$ remain as per prior notati</w:t>
      </w:r>
      <w:r w:rsidR="00E36DD0">
        <w:t xml:space="preserve">on, since </w:t>
      </w:r>
      <w:r w:rsidR="006568C9">
        <w:t>I am</w:t>
      </w:r>
      <w:r w:rsidR="00A21D66">
        <w:t xml:space="preserv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w:t>
      </w:r>
      <w:proofErr w:type="spellStart"/>
      <w:r w:rsidR="00A21D66">
        <w:t>beta_t</w:t>
      </w:r>
      <w:proofErr w:type="spellEnd"/>
      <w:r w:rsidR="00A21D66">
        <w:t>$ and $</w:t>
      </w:r>
      <w:proofErr w:type="spellStart"/>
      <w:r w:rsidR="00A21D66">
        <w:t>y_t</w:t>
      </w:r>
      <w:proofErr w:type="spellEnd"/>
      <w:r w:rsidR="00A21D66">
        <w:t xml:space="preserve">$ can be modelled using </w:t>
      </w:r>
      <w:r w:rsidR="00BC341F">
        <w:t>Gaussian distributions</w:t>
      </w:r>
      <w:r w:rsidR="00832EC2">
        <w:t xml:space="preserve">, where </w:t>
      </w:r>
      <w:r w:rsidR="00832EC2">
        <w:lastRenderedPageBreak/>
        <w:t>the distribution for the state variable $\hat\</w:t>
      </w:r>
      <w:proofErr w:type="spellStart"/>
      <w:r w:rsidR="00832EC2">
        <w:t>beta_t</w:t>
      </w:r>
      <w:proofErr w:type="spellEnd"/>
      <w:r w:rsidR="00832EC2">
        <w:t>$ is time-dependent and the distribution for observed variable $</w:t>
      </w:r>
      <w:proofErr w:type="spellStart"/>
      <w:r w:rsidR="00832EC2">
        <w:t>y_t</w:t>
      </w:r>
      <w:proofErr w:type="spellEnd"/>
      <w:r w:rsidR="00832EC2">
        <w:t>$ time-invariant</w:t>
      </w:r>
      <w:r w:rsidR="00BC341F">
        <w:t>. As suc</w:t>
      </w:r>
      <w:r w:rsidR="00434565">
        <w:t>h</w:t>
      </w:r>
      <w:r w:rsidR="00BC341F">
        <w:t>:</w:t>
      </w:r>
    </w:p>
    <w:p w14:paraId="1A76BFCE" w14:textId="7585C3E6" w:rsidR="00BC341F" w:rsidRDefault="00434565" w:rsidP="00DB3E2D">
      <w:r>
        <w:t>\hat\</w:t>
      </w:r>
      <w:proofErr w:type="spellStart"/>
      <w:r>
        <w:t>beta_t</w:t>
      </w:r>
      <w:proofErr w:type="spellEnd"/>
      <w:r>
        <w:t xml:space="preserve"> \sim </w:t>
      </w:r>
      <w:proofErr w:type="gramStart"/>
      <w:r>
        <w:t>N(</w:t>
      </w:r>
      <w:proofErr w:type="gramEnd"/>
      <w:r>
        <w:t>\hat\</w:t>
      </w:r>
      <w:proofErr w:type="spellStart"/>
      <w:r>
        <w:t>beta_t</w:t>
      </w:r>
      <w:proofErr w:type="spellEnd"/>
      <w:r>
        <w:t xml:space="preserve">, </w:t>
      </w:r>
      <w:proofErr w:type="spellStart"/>
      <w:r w:rsidR="008D32DB">
        <w:t>P</w:t>
      </w:r>
      <w:r>
        <w:t>_t</w:t>
      </w:r>
      <w:proofErr w:type="spellEnd"/>
      <w:r>
        <w:t>)</w:t>
      </w:r>
    </w:p>
    <w:p w14:paraId="0EE86976" w14:textId="56DBE733" w:rsidR="00DB37FD" w:rsidRDefault="00434565" w:rsidP="00DB3E2D">
      <w:proofErr w:type="spellStart"/>
      <w:r>
        <w:t>y_t</w:t>
      </w:r>
      <w:proofErr w:type="spellEnd"/>
      <w:r>
        <w:t xml:space="preserve"> \sim </w:t>
      </w:r>
      <w:proofErr w:type="gramStart"/>
      <w:r>
        <w:t>N(</w:t>
      </w:r>
      <w:proofErr w:type="gramEnd"/>
      <w:r>
        <w:t xml:space="preserve">y, </w:t>
      </w:r>
      <w:r w:rsidR="008D32DB">
        <w:t>R</w:t>
      </w:r>
      <w:r>
        <w:t>)</w:t>
      </w:r>
    </w:p>
    <w:p w14:paraId="4D416851" w14:textId="783A7CA1" w:rsidR="00DB37FD" w:rsidRDefault="00DB37FD" w:rsidP="00DB3E2D">
      <w:r>
        <w:t xml:space="preserve">where </w:t>
      </w:r>
      <w:r w:rsidR="0010281E">
        <w:t>$</w:t>
      </w:r>
      <w:proofErr w:type="spellStart"/>
      <w:r w:rsidR="0010281E">
        <w:t>P_t</w:t>
      </w:r>
      <w:proofErr w:type="spellEnd"/>
      <w:r w:rsidR="0010281E">
        <w:t>$ is the time-varying variance for $\hat\</w:t>
      </w:r>
      <w:proofErr w:type="spellStart"/>
      <w:r w:rsidR="0010281E">
        <w:t>beta_t</w:t>
      </w:r>
      <w:proofErr w:type="spellEnd"/>
      <w:r w:rsidR="0010281E">
        <w:t>$ and $R$ the constant variance for $</w:t>
      </w:r>
      <w:proofErr w:type="spellStart"/>
      <w:r w:rsidR="0010281E">
        <w:t>y_t</w:t>
      </w:r>
      <w:proofErr w:type="spellEnd"/>
      <w:r w:rsidR="0010281E">
        <w:t>$.</w:t>
      </w:r>
    </w:p>
    <w:p w14:paraId="013F2AF9" w14:textId="1CD03950" w:rsidR="00434565" w:rsidRDefault="00310247" w:rsidP="00DB3E2D">
      <w:r>
        <w:t>Under</w:t>
      </w:r>
      <w:r w:rsidR="008A5CBA">
        <w:t xml:space="preserve"> the index speculation </w:t>
      </w:r>
      <w:r>
        <w:t>theory</w:t>
      </w:r>
      <w:r w:rsidR="008A5CBA">
        <w:t>, $\</w:t>
      </w:r>
      <w:proofErr w:type="spellStart"/>
      <w:r w:rsidR="008A5CBA">
        <w:t>beta_t</w:t>
      </w:r>
      <w:proofErr w:type="spellEnd"/>
      <w:r w:rsidR="008A5CBA">
        <w:t xml:space="preserve">$ should be </w:t>
      </w:r>
      <w:r>
        <w:t xml:space="preserve">most </w:t>
      </w:r>
      <w:r w:rsidR="008A5CBA">
        <w:t xml:space="preserve">influenced by </w:t>
      </w:r>
      <w:r>
        <w:t xml:space="preserve">the </w:t>
      </w:r>
      <w:r w:rsidR="008A5CBA">
        <w:t>ex</w:t>
      </w:r>
      <w:r>
        <w:t>ogenous</w:t>
      </w:r>
      <w:r w:rsidR="008A5CBA">
        <w:t xml:space="preserve"> </w:t>
      </w:r>
      <w:r>
        <w:t xml:space="preserve">factor of </w:t>
      </w:r>
      <w:r w:rsidR="008A5CBA">
        <w:t xml:space="preserve">capital allocation rather than </w:t>
      </w:r>
      <w:r>
        <w:t>exhibit any endogenous properties such</w:t>
      </w:r>
      <w:r w:rsidR="008A5CBA">
        <w:t xml:space="preserve"> as mean reversion. Such an assumption of $\</w:t>
      </w:r>
      <w:proofErr w:type="spellStart"/>
      <w:r w:rsidR="008A5CBA">
        <w:t>beta_t</w:t>
      </w:r>
      <w:proofErr w:type="spellEnd"/>
      <w:r w:rsidR="008A5CBA">
        <w:t>$ fits well with the random walk assumption that inter-period evolution is solely due to</w:t>
      </w:r>
      <w:r w:rsidR="00AF1162">
        <w:t xml:space="preserve"> informational</w:t>
      </w:r>
      <w:r>
        <w:t xml:space="preserve"> </w:t>
      </w:r>
      <w:r w:rsidR="00441298">
        <w:t xml:space="preserve">stimuli </w:t>
      </w:r>
      <w:r w:rsidR="008A5CBA">
        <w:t>(</w:t>
      </w:r>
      <w:proofErr w:type="spellStart"/>
      <w:r w:rsidR="008A5CBA">
        <w:t>cMalkiel</w:t>
      </w:r>
      <w:proofErr w:type="spellEnd"/>
      <w:r w:rsidR="008A5CBA">
        <w:t xml:space="preserve"> 1973). A random walk assumption will also</w:t>
      </w:r>
      <w:r w:rsidR="00DB77B4">
        <w:t xml:space="preserve"> follow</w:t>
      </w:r>
      <w:r w:rsidR="008A5CBA">
        <w:t xml:space="preserve"> prior studies conducted by</w:t>
      </w:r>
      <w:r w:rsidR="00DB77B4">
        <w:t xml:space="preserve"> Faff, Hillier and Hillier (2003)</w:t>
      </w:r>
      <w:r w:rsidR="00717D66">
        <w:t xml:space="preserve"> and </w:t>
      </w:r>
      <w:r w:rsidR="00FD405D">
        <w:t>Renzi-Ricci (2016)</w:t>
      </w:r>
      <w:r w:rsidR="008A5CBA">
        <w:t>,</w:t>
      </w:r>
      <w:r w:rsidR="005743A4">
        <w:t xml:space="preserve"> which</w:t>
      </w:r>
      <w:r>
        <w:t xml:space="preserve"> was found to</w:t>
      </w:r>
      <w:r w:rsidR="005743A4">
        <w:t xml:space="preserve"> yield </w:t>
      </w:r>
      <w:r w:rsidR="00555E19">
        <w:t>the most</w:t>
      </w:r>
      <w:r w:rsidR="005743A4">
        <w:t xml:space="preserve"> accurate $\beta$ estimates for the CAPM</w:t>
      </w:r>
      <w:r w:rsidR="00555E19">
        <w:t xml:space="preserve"> in their study</w:t>
      </w:r>
      <w:r w:rsidR="00DB77B4">
        <w:t>.</w:t>
      </w:r>
      <w:r w:rsidR="00555E19">
        <w:t xml:space="preserve"> </w:t>
      </w:r>
      <w:r w:rsidR="00DB77B4">
        <w:t xml:space="preserve">Hence for the predictive step </w:t>
      </w:r>
      <w:r w:rsidR="006568C9">
        <w:t>I</w:t>
      </w:r>
      <w:r w:rsidR="00DB77B4">
        <w:t xml:space="preserve"> use the following set of equations:</w:t>
      </w:r>
    </w:p>
    <w:p w14:paraId="56385B82" w14:textId="7630C380" w:rsidR="008351ED" w:rsidRDefault="00B91D74" w:rsidP="00DB3E2D">
      <w:r>
        <w:t>\hat\beta_{t|t-1} = \hat\beta_{t-1|t-1}</w:t>
      </w:r>
      <w:r w:rsidR="00FD405D">
        <w:t xml:space="preserve"> + \</w:t>
      </w:r>
      <w:proofErr w:type="spellStart"/>
      <w:r w:rsidR="00FD405D">
        <w:t>theta_t</w:t>
      </w:r>
      <w:proofErr w:type="spellEnd"/>
    </w:p>
    <w:p w14:paraId="6029EE98" w14:textId="7A0FCBBC" w:rsidR="00B91D74" w:rsidRDefault="008D32DB" w:rsidP="00DB3E2D">
      <w:r>
        <w:t>P</w:t>
      </w:r>
      <w:r w:rsidR="00B91D74">
        <w:t xml:space="preserve">_{t|t-1} = </w:t>
      </w:r>
      <w:r>
        <w:t>P</w:t>
      </w:r>
      <w:r w:rsidR="00B91D74">
        <w:t xml:space="preserve">_{t-1|t-1} + </w:t>
      </w:r>
      <w:r>
        <w:t>Q</w:t>
      </w:r>
    </w:p>
    <w:p w14:paraId="7AD63866" w14:textId="7B336190" w:rsidR="00B91D74" w:rsidRDefault="00887739" w:rsidP="00DB3E2D">
      <w:r>
        <w:t>w</w:t>
      </w:r>
      <w:r w:rsidR="00006B77">
        <w:t xml:space="preserve">here </w:t>
      </w:r>
      <w:r w:rsidR="00FD405D">
        <w:t>$\</w:t>
      </w:r>
      <w:proofErr w:type="spellStart"/>
      <w:r w:rsidR="00FD405D">
        <w:t>theta_t</w:t>
      </w:r>
      <w:proofErr w:type="spellEnd"/>
      <w:r w:rsidR="00FD405D">
        <w:t xml:space="preserve">$ represents the error of the \hat\beta_{t-1|t-1} estimate and </w:t>
      </w:r>
      <w:r w:rsidR="00B91D74">
        <w:t>$</w:t>
      </w:r>
      <w:r w:rsidR="008D32DB">
        <w:t>Q</w:t>
      </w:r>
      <w:r w:rsidR="00B91D74">
        <w:t>$ is a time-invariant assumption of process noise. Essentially, a lower value of $</w:t>
      </w:r>
      <w:r w:rsidR="008D32DB">
        <w:t>Q</w:t>
      </w:r>
      <w:r w:rsidR="00B91D74">
        <w:t xml:space="preserve">$ </w:t>
      </w:r>
      <w:r w:rsidR="002448B7">
        <w:t xml:space="preserve">restricts the variance around the prior, which necessitates the posterior to </w:t>
      </w:r>
      <w:proofErr w:type="gramStart"/>
      <w:r w:rsidR="002448B7">
        <w:t>give greater consideration to</w:t>
      </w:r>
      <w:proofErr w:type="gramEnd"/>
      <w:r w:rsidR="002448B7">
        <w:t xml:space="preserve"> the p</w:t>
      </w:r>
      <w:r w:rsidR="00006B77">
        <w:t>rior</w:t>
      </w:r>
      <w:r w:rsidR="002448B7">
        <w:t xml:space="preserve"> than </w:t>
      </w:r>
      <w:r w:rsidR="00006B77">
        <w:t xml:space="preserve">the </w:t>
      </w:r>
      <w:r w:rsidR="002448B7">
        <w:t>observation</w:t>
      </w:r>
      <w:r w:rsidR="00FD405D">
        <w:t xml:space="preserve">, </w:t>
      </w:r>
      <w:r w:rsidR="00DC7006">
        <w:t>increasing</w:t>
      </w:r>
      <w:r w:rsidR="00FD405D">
        <w:t xml:space="preserve"> $\</w:t>
      </w:r>
      <w:proofErr w:type="spellStart"/>
      <w:r w:rsidR="00FD405D">
        <w:t>theta_t</w:t>
      </w:r>
      <w:proofErr w:type="spellEnd"/>
      <w:r w:rsidR="00FD405D">
        <w:t>$</w:t>
      </w:r>
      <w:r w:rsidR="002448B7">
        <w:t>. Hence a lower $</w:t>
      </w:r>
      <w:r w:rsidR="00006B77">
        <w:t>Q</w:t>
      </w:r>
      <w:r w:rsidR="002448B7">
        <w:t>$ implies a higher $\</w:t>
      </w:r>
      <w:proofErr w:type="spellStart"/>
      <w:r w:rsidR="002448B7">
        <w:t>epsilon_t</w:t>
      </w:r>
      <w:proofErr w:type="spellEnd"/>
      <w:r w:rsidR="002448B7">
        <w:t xml:space="preserve">$ in </w:t>
      </w:r>
      <w:r w:rsidR="006568C9">
        <w:t>the</w:t>
      </w:r>
      <w:r w:rsidR="002448B7">
        <w:t xml:space="preserve"> linear model</w:t>
      </w:r>
      <w:r w:rsidR="008D32DB">
        <w:t xml:space="preserve">, </w:t>
      </w:r>
      <w:r w:rsidR="00DC7006">
        <w:t>where</w:t>
      </w:r>
      <w:r w:rsidR="008D32DB">
        <w:t xml:space="preserve"> $\epsilon$ </w:t>
      </w:r>
      <w:r w:rsidR="004A4C88">
        <w:t xml:space="preserve">is not </w:t>
      </w:r>
      <w:r w:rsidR="00DC7006">
        <w:t>estimated directly by</w:t>
      </w:r>
      <w:r w:rsidR="008D32DB">
        <w:t xml:space="preserve"> the Kalman filter. </w:t>
      </w:r>
      <w:r w:rsidR="00DC7006">
        <w:t>This follows since i</w:t>
      </w:r>
      <w:r w:rsidR="008D32DB">
        <w:t xml:space="preserve">f </w:t>
      </w:r>
      <w:r w:rsidR="006568C9">
        <w:t>one</w:t>
      </w:r>
      <w:r w:rsidR="008D32DB">
        <w:t xml:space="preserve"> assume</w:t>
      </w:r>
      <w:r w:rsidR="006568C9">
        <w:t>s</w:t>
      </w:r>
      <w:r w:rsidR="008D32DB">
        <w:t xml:space="preserve"> </w:t>
      </w:r>
      <w:r w:rsidR="00006B77">
        <w:t>$\</w:t>
      </w:r>
      <w:proofErr w:type="spellStart"/>
      <w:r w:rsidR="00FD405D">
        <w:t>theta</w:t>
      </w:r>
      <w:r w:rsidR="00006B77">
        <w:t>_t</w:t>
      </w:r>
      <w:proofErr w:type="spellEnd"/>
      <w:r w:rsidR="00FD405D">
        <w:t xml:space="preserve"> = </w:t>
      </w:r>
      <w:r w:rsidR="00FD405D">
        <w:lastRenderedPageBreak/>
        <w:t>0</w:t>
      </w:r>
      <w:r w:rsidR="00006B77">
        <w:t>$</w:t>
      </w:r>
      <w:r w:rsidR="008D32DB">
        <w:t>, then $\</w:t>
      </w:r>
      <w:proofErr w:type="spellStart"/>
      <w:r w:rsidR="008D32DB">
        <w:t>beta_t</w:t>
      </w:r>
      <w:proofErr w:type="spellEnd"/>
      <w:r w:rsidR="008D32DB">
        <w:t>$ is</w:t>
      </w:r>
      <w:r w:rsidR="004A4C88">
        <w:t xml:space="preserve"> </w:t>
      </w:r>
      <w:r w:rsidR="008D32DB">
        <w:t>deterministic and the fluctuations of $</w:t>
      </w:r>
      <w:proofErr w:type="spellStart"/>
      <w:r w:rsidR="008D32DB">
        <w:t>y_t</w:t>
      </w:r>
      <w:proofErr w:type="spellEnd"/>
      <w:r w:rsidR="008D32DB">
        <w:t>$ and $</w:t>
      </w:r>
      <w:proofErr w:type="spellStart"/>
      <w:r w:rsidR="008D32DB">
        <w:t>x_t</w:t>
      </w:r>
      <w:proofErr w:type="spellEnd"/>
      <w:r w:rsidR="008D32DB">
        <w:t xml:space="preserve">$ </w:t>
      </w:r>
      <w:r w:rsidR="00006B77">
        <w:t>can be</w:t>
      </w:r>
      <w:r w:rsidR="008D32DB">
        <w:t xml:space="preserve"> explained by market noise $\</w:t>
      </w:r>
      <w:proofErr w:type="spellStart"/>
      <w:r w:rsidR="008D32DB">
        <w:t>epsilon_t</w:t>
      </w:r>
      <w:proofErr w:type="spellEnd"/>
      <w:r w:rsidR="008D32DB">
        <w:t>$ alone.</w:t>
      </w:r>
    </w:p>
    <w:p w14:paraId="4A06E837" w14:textId="206C804D" w:rsidR="00006B77" w:rsidRDefault="005F0A2A" w:rsidP="00DB3E2D">
      <w:r>
        <w:t xml:space="preserve">To compute </w:t>
      </w:r>
      <w:r w:rsidR="006568C9">
        <w:t>the</w:t>
      </w:r>
      <w:r>
        <w:t xml:space="preserve"> posterior estimates </w:t>
      </w:r>
      <w:r w:rsidR="006568C9">
        <w:t>I</w:t>
      </w:r>
      <w:r>
        <w:t xml:space="preserve"> use the following</w:t>
      </w:r>
      <w:r w:rsidR="00DC7006">
        <w:t xml:space="preserve"> set of equations</w:t>
      </w:r>
      <w:r>
        <w:t>:</w:t>
      </w:r>
    </w:p>
    <w:p w14:paraId="6B49E094" w14:textId="08D99422" w:rsidR="005F0A2A" w:rsidRDefault="005F0A2A" w:rsidP="00DB3E2D">
      <w:r>
        <w:t>K = \frac{P_{t|t-1</w:t>
      </w:r>
      <w:proofErr w:type="gramStart"/>
      <w:r>
        <w:t>}}{</w:t>
      </w:r>
      <w:proofErr w:type="gramEnd"/>
      <w:r>
        <w:t>P_{t|t-1} + R}</w:t>
      </w:r>
    </w:p>
    <w:p w14:paraId="1E149334" w14:textId="6577014B" w:rsidR="005F0A2A" w:rsidRDefault="005F0A2A" w:rsidP="00DB3E2D">
      <w:r>
        <w:t>\hat\beta_{</w:t>
      </w:r>
      <w:proofErr w:type="spellStart"/>
      <w:r>
        <w:t>t|t</w:t>
      </w:r>
      <w:proofErr w:type="spellEnd"/>
      <w:r>
        <w:t xml:space="preserve">} = \hat\beta_{t|t-1} + </w:t>
      </w:r>
      <w:proofErr w:type="gramStart"/>
      <w:r>
        <w:t>K(</w:t>
      </w:r>
      <w:proofErr w:type="spellStart"/>
      <w:proofErr w:type="gramEnd"/>
      <w:r>
        <w:t>y</w:t>
      </w:r>
      <w:r w:rsidR="00CD51A0">
        <w:t>_t</w:t>
      </w:r>
      <w:proofErr w:type="spellEnd"/>
      <w:r>
        <w:t xml:space="preserve"> - </w:t>
      </w:r>
      <w:r w:rsidR="00CD51A0">
        <w:t>\hat\beta_{t|t-1}</w:t>
      </w:r>
      <w:r w:rsidR="006A7988">
        <w:t>{</w:t>
      </w:r>
      <w:proofErr w:type="spellStart"/>
      <w:r w:rsidR="006A7988">
        <w:t>x_t</w:t>
      </w:r>
      <w:proofErr w:type="spellEnd"/>
      <w:r w:rsidR="006A7988">
        <w:t>}</w:t>
      </w:r>
      <w:r w:rsidR="00CD51A0">
        <w:t>)</w:t>
      </w:r>
    </w:p>
    <w:p w14:paraId="55079FE7" w14:textId="0246640C" w:rsidR="00CD51A0" w:rsidRDefault="00CD51A0" w:rsidP="00DB3E2D">
      <w:r>
        <w:t>P_{</w:t>
      </w:r>
      <w:proofErr w:type="spellStart"/>
      <w:r>
        <w:t>t|t</w:t>
      </w:r>
      <w:proofErr w:type="spellEnd"/>
      <w:r>
        <w:t>} = (1 – K) P_{t|t-1}</w:t>
      </w:r>
    </w:p>
    <w:p w14:paraId="6178CFB6" w14:textId="311A183C" w:rsidR="00CD51A0" w:rsidRDefault="00CD51A0" w:rsidP="00DB3E2D">
      <w:r>
        <w:t>$K$ above is commonly known as the ‘Kalman gain’ between each time-step, which decides how much weight should be given to th</w:t>
      </w:r>
      <w:r w:rsidR="005743A4">
        <w:t xml:space="preserve">e new residual computed using the prior prediction. Intuitively, it </w:t>
      </w:r>
      <w:r w:rsidR="0012365F">
        <w:t xml:space="preserve">controls </w:t>
      </w:r>
      <w:r w:rsidR="002F5350">
        <w:t xml:space="preserve">how the </w:t>
      </w:r>
      <w:r w:rsidR="00280B35">
        <w:t>error</w:t>
      </w:r>
      <w:r w:rsidR="002F5350">
        <w:t xml:space="preserve">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88BDAF" w:rsidR="004A384F" w:rsidRDefault="004A384F" w:rsidP="004A384F">
      <w:r>
        <w:t xml:space="preserve">This section will focus on developing the practical methodology used to obtain </w:t>
      </w:r>
      <w:r w:rsidR="006568C9">
        <w:t>my</w:t>
      </w:r>
      <w:r>
        <w:t xml:space="preserve"> results. First will be a discussion of general strategy around building the models using empirical </w:t>
      </w:r>
      <w:proofErr w:type="gramStart"/>
      <w:r>
        <w:t>data, before</w:t>
      </w:r>
      <w:proofErr w:type="gramEnd"/>
      <w:r>
        <w:t xml:space="preserve"> an explanation of how data was obtained.</w:t>
      </w:r>
    </w:p>
    <w:p w14:paraId="4E4E4974" w14:textId="2DE5AA19" w:rsidR="004A384F" w:rsidRDefault="004A384F" w:rsidP="004A384F">
      <w:pPr>
        <w:pStyle w:val="ListParagraph"/>
        <w:numPr>
          <w:ilvl w:val="0"/>
          <w:numId w:val="8"/>
        </w:numPr>
      </w:pPr>
      <w:r>
        <w:t>Strategy</w:t>
      </w:r>
    </w:p>
    <w:p w14:paraId="6328C7FE" w14:textId="3E6E0E91" w:rsidR="00FA6361" w:rsidRDefault="00FA6361" w:rsidP="00DB3E2D">
      <w:r>
        <w:t xml:space="preserve">To implement </w:t>
      </w:r>
      <w:r w:rsidR="006568C9">
        <w:t>the</w:t>
      </w:r>
      <w:r>
        <w:t xml:space="preserve"> model,</w:t>
      </w:r>
      <w:r w:rsidR="002E4ABA">
        <w:t xml:space="preserve"> real returns shall be used for $x$ and $y$. Deflation is necessary for a robust analysis since inflation </w:t>
      </w:r>
      <w:r w:rsidR="00094AFB">
        <w:t>information</w:t>
      </w:r>
      <w:r w:rsidR="0003695C">
        <w:t xml:space="preserve"> is embedded in commodity prices</w:t>
      </w:r>
      <w:r w:rsidR="00094AFB">
        <w:t xml:space="preserve"> </w:t>
      </w:r>
      <w:r w:rsidR="002E4ABA">
        <w:t>(</w:t>
      </w:r>
      <w:proofErr w:type="spellStart"/>
      <w:r w:rsidR="002E4ABA">
        <w:t>cGarrat</w:t>
      </w:r>
      <w:proofErr w:type="spellEnd"/>
      <w:r w:rsidR="002E4ABA">
        <w:t xml:space="preserve"> and Petrella 202</w:t>
      </w:r>
      <w:r w:rsidR="00094AFB">
        <w:t>2</w:t>
      </w:r>
      <w:r w:rsidR="002E4ABA">
        <w:t>).</w:t>
      </w:r>
      <w:r>
        <w:t xml:space="preserve"> </w:t>
      </w:r>
      <w:r w:rsidR="006568C9">
        <w:t>I</w:t>
      </w:r>
      <w:r>
        <w:t xml:space="preserve"> shall </w:t>
      </w:r>
      <w:r w:rsidR="002E4ABA">
        <w:t xml:space="preserve">also </w:t>
      </w:r>
      <w:r>
        <w:t xml:space="preserve">use </w:t>
      </w:r>
      <w:r w:rsidR="003C4D02">
        <w:t xml:space="preserve">series of </w:t>
      </w:r>
      <w:r w:rsidR="002E4ABA">
        <w:t>monthly data</w:t>
      </w:r>
      <w:r>
        <w:t xml:space="preserve"> to make </w:t>
      </w:r>
      <w:r w:rsidR="005E4FAA">
        <w:t>the</w:t>
      </w:r>
      <w:r>
        <w:t xml:space="preserve"> linear model compatible with the</w:t>
      </w:r>
      <w:r w:rsidR="00DC7006">
        <w:t xml:space="preserve"> CAPM under the</w:t>
      </w:r>
      <w:r>
        <w:t xml:space="preserve"> aforementioned assumption of negligible inter-period risk-free rat</w:t>
      </w:r>
      <w:r w:rsidR="005A6CCB">
        <w:t xml:space="preserve">e. This is a realistic assumption since the </w:t>
      </w:r>
      <w:r w:rsidR="004A4C88">
        <w:t xml:space="preserve">US </w:t>
      </w:r>
      <w:r w:rsidR="005A6CCB">
        <w:t>Federal Funds rate has remained below 0.</w:t>
      </w:r>
      <w:r w:rsidR="00055868">
        <w:t>6</w:t>
      </w:r>
      <w:r w:rsidR="005A6CCB">
        <w:t>% per month since the 1980s</w:t>
      </w:r>
      <w:r w:rsidR="00DD45BC">
        <w:t xml:space="preserve"> (Appendix </w:t>
      </w:r>
      <w:r w:rsidR="00DD45BC">
        <w:lastRenderedPageBreak/>
        <w:t>CITE)</w:t>
      </w:r>
      <w:r w:rsidR="005A6CCB">
        <w:t xml:space="preserve">. </w:t>
      </w:r>
      <w:r w:rsidR="002E4ABA">
        <w:t>To make the data suitable for our model, r</w:t>
      </w:r>
      <w:r w:rsidR="001855C9">
        <w:t>eturns shall</w:t>
      </w:r>
      <w:r w:rsidR="003C4D02">
        <w:t xml:space="preserve">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w:t>
      </w:r>
      <w:r w:rsidR="00F02828">
        <w:t xml:space="preserve"> </w:t>
      </w:r>
      <w:r w:rsidR="00DC7006">
        <w:t>the</w:t>
      </w:r>
      <w:r w:rsidR="002E4ABA">
        <w:t xml:space="preserve"> Kalman</w:t>
      </w:r>
      <w:r w:rsidR="00F02828">
        <w:t xml:space="preserve"> filter’s</w:t>
      </w:r>
      <w:r w:rsidR="003C4D02">
        <w:t xml:space="preserve"> normality assumption, as well as de-seasonalized to remove the influence of seasonal</w:t>
      </w:r>
      <w:r w:rsidR="004B6B6F">
        <w:t xml:space="preserve"> demand/supply </w:t>
      </w:r>
      <w:r w:rsidR="003C4D02">
        <w:t xml:space="preserve">patterns. </w:t>
      </w:r>
      <w:r w:rsidR="00B0682B">
        <w:t>D</w:t>
      </w:r>
      <w:r w:rsidR="003C4D02">
        <w:t>e-</w:t>
      </w:r>
      <w:proofErr w:type="spellStart"/>
      <w:r w:rsidR="003C4D02">
        <w:t>seasonalization</w:t>
      </w:r>
      <w:proofErr w:type="spellEnd"/>
      <w:r w:rsidR="003C4D02">
        <w:t xml:space="preserve"> will involve</w:t>
      </w:r>
      <w:r w:rsidR="004A384F">
        <w:t xml:space="preserve"> calculating the difference between actual returns and in-sample monthly averages.</w:t>
      </w:r>
      <w:r w:rsidR="003C4D02">
        <w:t xml:space="preserve"> </w:t>
      </w:r>
      <w:r w:rsidR="00094AFB">
        <w:t>Note tha</w:t>
      </w:r>
      <w:r w:rsidR="004A384F">
        <w:t>t</w:t>
      </w:r>
      <w:r w:rsidR="00094AFB">
        <w:t xml:space="preserve"> due to two-step the data transformation, it</w:t>
      </w:r>
      <w:r w:rsidR="004A384F">
        <w:t xml:space="preserve"> matters little whether simple or exponential returns </w:t>
      </w:r>
      <w:r w:rsidR="00094AFB">
        <w:t>are used</w:t>
      </w:r>
      <w:r w:rsidR="004A384F">
        <w:t>. For this paper simple returns will be used.</w:t>
      </w:r>
    </w:p>
    <w:p w14:paraId="467EA23D" w14:textId="058A5C82" w:rsidR="00794540" w:rsidRDefault="00843682" w:rsidP="00DB3E2D">
      <w:r>
        <w:t xml:space="preserve">Recall also that </w:t>
      </w:r>
      <w:r w:rsidR="00DC7006">
        <w:t>the</w:t>
      </w:r>
      <w:r>
        <w:t xml:space="preserve"> initial parameters $\hat\beta_0$, $P_0</w:t>
      </w:r>
      <w:proofErr w:type="gramStart"/>
      <w:r>
        <w:t>$,  $</w:t>
      </w:r>
      <w:proofErr w:type="gramEnd"/>
      <w:r>
        <w:t>R$ and $Q$ for the Kalman filter</w:t>
      </w:r>
      <w:r w:rsidR="00DC7006">
        <w:t xml:space="preserve"> must be specified</w:t>
      </w:r>
      <w:r>
        <w:t>.</w:t>
      </w:r>
      <w:r w:rsidR="004B6B6F">
        <w:t xml:space="preserve"> </w:t>
      </w:r>
      <w:r w:rsidR="00FB546F">
        <w:t xml:space="preserve">Since </w:t>
      </w:r>
      <w:r w:rsidR="006568C9">
        <w:t>I am</w:t>
      </w:r>
      <w:r w:rsidR="00FB546F">
        <w:t xml:space="preserve"> testing for </w:t>
      </w:r>
      <w:r w:rsidR="00464F90">
        <w:t>integration</w:t>
      </w:r>
      <w:r w:rsidR="00FB546F">
        <w:t xml:space="preserve">, </w:t>
      </w:r>
      <w:r w:rsidR="006568C9">
        <w:t>I</w:t>
      </w:r>
      <w:r w:rsidR="00FB546F">
        <w:t xml:space="preserve"> shall first assume </w:t>
      </w:r>
      <w:r w:rsidR="00464F90">
        <w:t xml:space="preserve">no integration with </w:t>
      </w:r>
      <w:r w:rsidR="00FB546F">
        <w:t xml:space="preserve">$\hat\beta_0 = 0$, and let the model </w:t>
      </w:r>
      <w:r w:rsidR="00DC7006">
        <w:t>provide evidence for the contrary</w:t>
      </w:r>
      <w:r w:rsidR="00464F90">
        <w:t xml:space="preserve">. </w:t>
      </w:r>
      <w:r w:rsidR="00FB546F">
        <w:t>$R$ is easy to specify as the in-sample variance of $y$</w:t>
      </w:r>
      <w:r w:rsidR="00464F90">
        <w:t xml:space="preserve">, which should remain consistent throughout the period given </w:t>
      </w:r>
      <w:r w:rsidR="00DC7006">
        <w:t>the</w:t>
      </w:r>
      <w:r w:rsidR="00464F90">
        <w:t xml:space="preserve"> </w:t>
      </w:r>
      <w:r w:rsidR="00DC7006">
        <w:t>standardization of returns</w:t>
      </w:r>
      <w:r w:rsidR="00FB546F">
        <w:t xml:space="preserve">. $P_0$ will be assumed to be the same as $R$, though the initial specification matters little </w:t>
      </w:r>
      <w:r w:rsidR="00DC7006">
        <w:t>because</w:t>
      </w:r>
      <w:r w:rsidR="00FB546F">
        <w:t xml:space="preserve"> it is a dynamic variable</w:t>
      </w:r>
      <w:r w:rsidR="00DC7006">
        <w:t xml:space="preserve"> that</w:t>
      </w:r>
      <w:r w:rsidR="00FB546F">
        <w:t xml:space="preserve"> will b</w:t>
      </w:r>
      <w:r w:rsidR="00464F90">
        <w:t xml:space="preserve">e </w:t>
      </w:r>
      <w:r w:rsidR="00CD7ADF">
        <w:t>updated</w:t>
      </w:r>
      <w:r w:rsidR="00FB546F">
        <w:t xml:space="preserve"> with each iteration.</w:t>
      </w:r>
      <w:r w:rsidR="00464F90">
        <w:t xml:space="preserve"> </w:t>
      </w:r>
      <w:r w:rsidR="008016A6">
        <w:t>T</w:t>
      </w:r>
      <w:r w:rsidR="002F5350">
        <w:t>his paper shall use 0.01 for $Q$, which reflec</w:t>
      </w:r>
      <w:r w:rsidR="008016A6">
        <w:t>ts</w:t>
      </w:r>
      <w:r w:rsidR="002F5350">
        <w:t xml:space="preserve"> </w:t>
      </w:r>
      <w:r w:rsidR="00464F90">
        <w:t>the assumption</w:t>
      </w:r>
      <w:r w:rsidR="002F5350">
        <w:t xml:space="preserve"> that the level of integration between markets </w:t>
      </w:r>
      <w:r w:rsidR="00C13EED">
        <w:t xml:space="preserve">is not volatile </w:t>
      </w:r>
      <w:r w:rsidR="008016A6">
        <w:t xml:space="preserve">given </w:t>
      </w:r>
      <w:r w:rsidR="00C13EED">
        <w:t>that</w:t>
      </w:r>
      <w:r w:rsidR="00464F90">
        <w:t xml:space="preserve"> financialization is a gradual process.</w:t>
      </w:r>
    </w:p>
    <w:p w14:paraId="5A53D2CC" w14:textId="0C5DDF76" w:rsidR="00464F90" w:rsidRDefault="002A4F4F" w:rsidP="00DB3E2D">
      <w:r>
        <w:t>For c</w:t>
      </w:r>
      <w:r w:rsidR="00C13EED">
        <w:t xml:space="preserve">omputation this paper uses the Python package </w:t>
      </w:r>
      <w:proofErr w:type="spellStart"/>
      <w:r w:rsidR="00DD6D62">
        <w:t>F</w:t>
      </w:r>
      <w:r w:rsidR="00C13EED">
        <w:t>ilter</w:t>
      </w:r>
      <w:r w:rsidR="00DD6D62">
        <w:t>P</w:t>
      </w:r>
      <w:r w:rsidR="00C13EED">
        <w:t>y</w:t>
      </w:r>
      <w:proofErr w:type="spellEnd"/>
      <w:r w:rsidR="00280B35">
        <w:t xml:space="preserve"> (</w:t>
      </w:r>
      <w:r>
        <w:t>v</w:t>
      </w:r>
      <w:r w:rsidR="00280B35">
        <w:t>.</w:t>
      </w:r>
      <w:r>
        <w:t>1.4.5</w:t>
      </w:r>
      <w:r w:rsidR="00280B35">
        <w:t>)</w:t>
      </w:r>
      <w:r w:rsidR="00C13EED">
        <w:t xml:space="preserve"> by Labbe (c2015) to implement the Kalman filter. Recall that the Kalman filter is a forward (in time) algorithm that </w:t>
      </w:r>
      <w:r w:rsidR="008C4E19">
        <w:t>calculates the most likely position of $\</w:t>
      </w:r>
      <w:proofErr w:type="spellStart"/>
      <w:r w:rsidR="008C4E19">
        <w:t>beta_t</w:t>
      </w:r>
      <w:proofErr w:type="spellEnd"/>
      <w:r w:rsidR="008C4E19">
        <w:t xml:space="preserve">$ given </w:t>
      </w:r>
      <w:r w:rsidR="0052642B">
        <w:t>data at $t-1$</w:t>
      </w:r>
      <w:r w:rsidR="008C4E19">
        <w:t xml:space="preserve">, making it useful for real-time updating. However, for inference it is </w:t>
      </w:r>
      <w:r w:rsidR="0052642B">
        <w:t xml:space="preserve">sometimes </w:t>
      </w:r>
      <w:r w:rsidR="008C4E19">
        <w:t>desirable to compute the most likely evolution of $\</w:t>
      </w:r>
      <w:proofErr w:type="spellStart"/>
      <w:r w:rsidR="008C4E19">
        <w:t>beta_t</w:t>
      </w:r>
      <w:proofErr w:type="spellEnd"/>
      <w:r w:rsidR="008C4E19">
        <w:t xml:space="preserve">$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lastRenderedPageBreak/>
        <w:t>Rauch-Tung-</w:t>
      </w:r>
      <w:proofErr w:type="spellStart"/>
      <w:r w:rsidR="00C13EED" w:rsidRPr="00C13EED">
        <w:t>Striebal</w:t>
      </w:r>
      <w:proofErr w:type="spellEnd"/>
      <w:r w:rsidR="0052642B">
        <w:t xml:space="preserve"> smoother implemented by </w:t>
      </w:r>
      <w:proofErr w:type="spellStart"/>
      <w:r w:rsidR="00DD6D62">
        <w:t>FilterPy</w:t>
      </w:r>
      <w:proofErr w:type="spellEnd"/>
      <w:r w:rsidR="0052642B">
        <w:t xml:space="preserve">, which </w:t>
      </w:r>
      <w:r w:rsidR="006568C9">
        <w:t>I</w:t>
      </w:r>
      <w:r w:rsidR="0052642B">
        <w:t xml:space="preserv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462E92FA" w:rsidR="00712869" w:rsidRDefault="00712869" w:rsidP="002A4F4F">
      <w:r>
        <w:t>The data used for this paper falls into t</w:t>
      </w:r>
      <w:r w:rsidR="00C96B88">
        <w:t>hree</w:t>
      </w:r>
      <w:r>
        <w:t xml:space="preserve"> categories: single securities</w:t>
      </w:r>
      <w:r w:rsidR="00C96B88">
        <w:t>,</w:t>
      </w:r>
      <w:r>
        <w:t xml:space="preserve"> indice</w:t>
      </w:r>
      <w:r w:rsidR="00486180">
        <w:t>s</w:t>
      </w:r>
      <w:r w:rsidR="00C96B88">
        <w:t>, and supporting information</w:t>
      </w:r>
      <w:r>
        <w:t>.</w:t>
      </w:r>
      <w:r w:rsidR="009004EC">
        <w:t xml:space="preserve"> </w:t>
      </w:r>
      <w:r w:rsidR="00280B35">
        <w:t>T</w:t>
      </w:r>
      <w:r w:rsidR="00F25419">
        <w:t>ime-series</w:t>
      </w:r>
      <w:r w:rsidR="009004EC">
        <w:t xml:space="preserve"> </w:t>
      </w:r>
      <w:r w:rsidR="00280B35">
        <w:t xml:space="preserve">data was collected </w:t>
      </w:r>
      <w:r w:rsidR="009004EC">
        <w:t>at monthly intervals as detailed above, utilizing first-of-month values.</w:t>
      </w:r>
      <w:r w:rsidR="00486180">
        <w:t xml:space="preserve"> </w:t>
      </w:r>
      <w:r w:rsidR="006568C9">
        <w:t xml:space="preserve">I </w:t>
      </w:r>
      <w:r w:rsidR="00486180">
        <w:t>collect</w:t>
      </w:r>
      <w:r w:rsidR="00BB5319">
        <w:t>ed</w:t>
      </w:r>
      <w:r w:rsidR="00486180">
        <w:t xml:space="preserve"> the maximum historical sample available for all data, with </w:t>
      </w:r>
      <w:r w:rsidR="00F16D3A">
        <w:t xml:space="preserve">in-sample </w:t>
      </w:r>
      <w:r w:rsidR="00486180">
        <w:t>cut-off points being January 1986 and December 2021</w:t>
      </w:r>
      <w:r w:rsidR="00280B35">
        <w:t>, giving a maximum of $3</w:t>
      </w:r>
      <w:r w:rsidR="00F16D3A">
        <w:t>6</w:t>
      </w:r>
      <w:r w:rsidR="00280B35">
        <w:t xml:space="preserve"> \times 12$ datapoints</w:t>
      </w:r>
      <w:r w:rsidR="00F16D3A">
        <w:t xml:space="preserve"> for any series</w:t>
      </w:r>
      <w:r w:rsidR="00486180">
        <w:t>.</w:t>
      </w:r>
      <w:r w:rsidR="00A6713A">
        <w:t xml:space="preserve"> The in-sample period was decided based on the scope of the research being aimed at uncovering risk sharing with regards to financialization in the 2000s</w:t>
      </w:r>
      <w:r w:rsidR="00494CF6">
        <w:t xml:space="preserve">, as well as the late 1980s being the period </w:t>
      </w:r>
      <w:r w:rsidR="00C96B88">
        <w:t>when</w:t>
      </w:r>
      <w:r w:rsidR="00494CF6">
        <w:t xml:space="preserve"> many commodity futures in the US began</w:t>
      </w:r>
      <w:r w:rsidR="00C96B88">
        <w:t xml:space="preserve"> trading</w:t>
      </w:r>
      <w:r w:rsidR="00494CF6">
        <w:t xml:space="preserve"> (Tang and </w:t>
      </w:r>
      <w:proofErr w:type="spellStart"/>
      <w:r w:rsidR="00494CF6">
        <w:t>Xiong</w:t>
      </w:r>
      <w:proofErr w:type="spellEnd"/>
      <w:r w:rsidR="00494CF6">
        <w:t xml:space="preserve"> 2012).</w:t>
      </w:r>
      <w:r w:rsidR="00486180">
        <w:t xml:space="preserve"> Prices </w:t>
      </w:r>
      <w:r w:rsidR="00BB5319">
        <w:t>were</w:t>
      </w:r>
      <w:r w:rsidR="00486180">
        <w:t xml:space="preserve"> all collected in </w:t>
      </w:r>
      <w:r w:rsidR="00133971">
        <w:t>US dollar denomination</w:t>
      </w:r>
      <w:r w:rsidR="00486180">
        <w:t xml:space="preserve">, and </w:t>
      </w:r>
      <w:r w:rsidR="001106FA">
        <w:t>deflated to December 2021 terms</w:t>
      </w:r>
      <w:r w:rsidR="00486180">
        <w:t xml:space="preserve"> using the monthly US C</w:t>
      </w:r>
      <w:r w:rsidR="00510795">
        <w:t>onsumer Price Index</w:t>
      </w:r>
      <w:r w:rsidR="00486180">
        <w:t xml:space="preserve"> </w:t>
      </w:r>
      <w:r w:rsidR="00CF2F73">
        <w:t>from the Federal Reserve Bank of</w:t>
      </w:r>
      <w:r w:rsidR="00BB5319">
        <w:t xml:space="preserve"> St. Louis.</w:t>
      </w:r>
      <w:r w:rsidR="007F76E6">
        <w:t xml:space="preserve"> </w:t>
      </w:r>
      <w:r w:rsidR="00906F5E">
        <w:t>The formula used for deflation is:</w:t>
      </w:r>
    </w:p>
    <w:p w14:paraId="3EB02628" w14:textId="433FEB5B" w:rsidR="00906F5E" w:rsidRDefault="00906F5E" w:rsidP="002A4F4F">
      <w:r>
        <w:t>\Price</w:t>
      </w:r>
      <w:proofErr w:type="gramStart"/>
      <w:r>
        <w:t>_{</w:t>
      </w:r>
      <w:proofErr w:type="gramEnd"/>
      <w:r>
        <w:t>real, t} = Price_{nominal, t} \times \frac{CPI_T}{</w:t>
      </w:r>
      <w:proofErr w:type="spellStart"/>
      <w:r>
        <w:t>CPI_t</w:t>
      </w:r>
      <w:proofErr w:type="spellEnd"/>
      <w:r>
        <w:t>}</w:t>
      </w:r>
    </w:p>
    <w:p w14:paraId="0634C905" w14:textId="7521FC82" w:rsidR="00906F5E" w:rsidRDefault="00906F5E" w:rsidP="002A4F4F">
      <w:r>
        <w:t>such that $T$ represents December 2021.</w:t>
      </w:r>
    </w:p>
    <w:p w14:paraId="4D4DDD19" w14:textId="3ED9B3B2" w:rsidR="009803D0" w:rsidRDefault="009803D0" w:rsidP="009803D0">
      <w:pPr>
        <w:pStyle w:val="ListParagraph"/>
        <w:numPr>
          <w:ilvl w:val="0"/>
          <w:numId w:val="10"/>
        </w:numPr>
      </w:pPr>
      <w:r>
        <w:t>Indic</w:t>
      </w:r>
      <w:r w:rsidR="00CD7ADF">
        <w:t>es</w:t>
      </w:r>
    </w:p>
    <w:p w14:paraId="7B1F0D9B" w14:textId="0AB9A418" w:rsidR="00BB5319" w:rsidRDefault="00BB5319" w:rsidP="002A4F4F">
      <w:r>
        <w:t>Ind</w:t>
      </w:r>
      <w:r w:rsidR="00CD7ADF">
        <w:t>ex</w:t>
      </w:r>
      <w:r>
        <w:t xml:space="preserve"> data include both commodity and equity indices</w:t>
      </w:r>
      <w:r w:rsidR="00133971">
        <w:t>, a</w:t>
      </w:r>
      <w:r w:rsidR="00BF2850">
        <w:t>ll of which was</w:t>
      </w:r>
      <w:r w:rsidR="00133971">
        <w:t xml:space="preserve"> collected from Bloomberg. </w:t>
      </w:r>
      <w:r w:rsidR="001106FA">
        <w:t>Commodity</w:t>
      </w:r>
      <w:r w:rsidR="00133971">
        <w:t xml:space="preserve"> indices </w:t>
      </w:r>
      <w:r w:rsidR="001106FA">
        <w:t>collected</w:t>
      </w:r>
      <w:r w:rsidR="00133971">
        <w:t xml:space="preserve"> are the</w:t>
      </w:r>
      <w:r w:rsidR="0041658B">
        <w:t xml:space="preserve"> S\&amp;P</w:t>
      </w:r>
      <w:r w:rsidR="006B17A8">
        <w:t xml:space="preserve"> Goldman Sachs Commodity Index</w:t>
      </w:r>
      <w:r w:rsidR="00133971">
        <w:t xml:space="preserve"> </w:t>
      </w:r>
      <w:r w:rsidR="006B17A8">
        <w:t>(</w:t>
      </w:r>
      <w:r w:rsidR="00133971">
        <w:t>G</w:t>
      </w:r>
      <w:r w:rsidR="006B17A8">
        <w:t>SCI)</w:t>
      </w:r>
      <w:r w:rsidR="00133971">
        <w:t>,</w:t>
      </w:r>
      <w:r w:rsidR="001106FA">
        <w:t xml:space="preserve"> </w:t>
      </w:r>
      <w:r w:rsidR="0041658B">
        <w:t xml:space="preserve">S\&amp;P </w:t>
      </w:r>
      <w:r w:rsidR="001106FA">
        <w:t>Dow Jones Commodity Index (DJCI), Bloomberg Commodity Index (BCI), and Commodity Research Bureau Index (CRBI)</w:t>
      </w:r>
      <w:r w:rsidR="00133971">
        <w:t xml:space="preserve">. </w:t>
      </w:r>
      <w:r w:rsidR="006B17A8">
        <w:t xml:space="preserve">The energy component of GSCI (GSECI), and the non-energy component (GSNECI) was also collected to test for cross-sector integration within the commodity market itself. </w:t>
      </w:r>
      <w:r w:rsidR="00133971">
        <w:lastRenderedPageBreak/>
        <w:t>Equity indices used are the S</w:t>
      </w:r>
      <w:r w:rsidR="000C6058">
        <w:t>\&amp;</w:t>
      </w:r>
      <w:r w:rsidR="00133971">
        <w:t>P 500</w:t>
      </w:r>
      <w:r w:rsidR="005C2AE0">
        <w:t xml:space="preserve"> (SPX)</w:t>
      </w:r>
      <w:r w:rsidR="00133971">
        <w:t xml:space="preserve">, MSCI World </w:t>
      </w:r>
      <w:r w:rsidR="00A64A2E">
        <w:t>(</w:t>
      </w:r>
      <w:r w:rsidR="009A75F0">
        <w:t>MSCI-W</w:t>
      </w:r>
      <w:r w:rsidR="00A64A2E">
        <w:t xml:space="preserve">) </w:t>
      </w:r>
      <w:r w:rsidR="00133971">
        <w:t>and MSCI Emerging Markets</w:t>
      </w:r>
      <w:r w:rsidR="00A64A2E">
        <w:t xml:space="preserve"> (</w:t>
      </w:r>
      <w:r w:rsidR="009A75F0">
        <w:t>MSCI-EM</w:t>
      </w:r>
      <w:r w:rsidR="00A64A2E">
        <w:t>)</w:t>
      </w:r>
      <w:r w:rsidR="00133971">
        <w:t xml:space="preserve">. </w:t>
      </w:r>
      <w:r w:rsidR="00EC0C40" w:rsidRPr="00EC0C40">
        <w:t>Appendix \ref{</w:t>
      </w:r>
      <w:proofErr w:type="spellStart"/>
      <w:r w:rsidR="00EC0C40" w:rsidRPr="00EC0C40">
        <w:t>comvis</w:t>
      </w:r>
      <w:proofErr w:type="spellEnd"/>
      <w:r w:rsidR="00EC0C40" w:rsidRPr="00EC0C40">
        <w:t>}, and in Appendix \ref{</w:t>
      </w:r>
      <w:proofErr w:type="spellStart"/>
      <w:r w:rsidR="00EC0C40" w:rsidRPr="00EC0C40">
        <w:t>eqvis</w:t>
      </w:r>
      <w:proofErr w:type="spellEnd"/>
      <w:r w:rsidR="00EC0C40" w:rsidRPr="00EC0C40">
        <w:t>} for equity indices.</w:t>
      </w:r>
    </w:p>
    <w:p w14:paraId="505EB4A7" w14:textId="0DF976EE" w:rsidR="009803D0" w:rsidRDefault="009803D0" w:rsidP="009803D0">
      <w:r>
        <w:t>GSCI, DJCI and BCI all include the broad sectors of energy, agriculture, livestock and metal</w:t>
      </w:r>
      <w:r w:rsidR="0012382B">
        <w:t xml:space="preserve">. </w:t>
      </w:r>
      <w:r>
        <w:t>CRBI will be discussed separately as its constituents differ from the other three indices entirely. All commodity indices used are constructed based on rolling futures prices, usually one to two months from expiry.</w:t>
      </w:r>
    </w:p>
    <w:p w14:paraId="5C453E10" w14:textId="77598FC7" w:rsidR="009803D0" w:rsidRDefault="0012382B" w:rsidP="009803D0">
      <w:r>
        <w:t>Despite their broad similarities, k</w:t>
      </w:r>
      <w:r w:rsidR="006040AF">
        <w:t xml:space="preserve">ey differences exist in the </w:t>
      </w:r>
      <w:r>
        <w:t>methodology</w:t>
      </w:r>
      <w:r w:rsidR="006040AF">
        <w:t xml:space="preserve"> of </w:t>
      </w:r>
      <w:r>
        <w:t>GSCI, DJCI and BCI</w:t>
      </w:r>
      <w:r w:rsidR="006040AF">
        <w:t xml:space="preserve">. </w:t>
      </w:r>
      <w:r w:rsidR="009803D0">
        <w:t>GSCI is a production-weighted index, with weights determined by five-year average world production data (</w:t>
      </w:r>
      <w:proofErr w:type="spellStart"/>
      <w:r w:rsidR="009803D0">
        <w:t>cS</w:t>
      </w:r>
      <w:proofErr w:type="spellEnd"/>
      <w:r w:rsidR="009803D0">
        <w:t>\&amp;P Global 2022</w:t>
      </w:r>
      <w:r w:rsidR="00E018E9">
        <w:t>a</w:t>
      </w:r>
      <w:r w:rsidR="009803D0">
        <w:t xml:space="preserve">). As such, it </w:t>
      </w:r>
      <w:r>
        <w:t>has</w:t>
      </w:r>
      <w:r w:rsidR="009803D0">
        <w:t xml:space="preserve"> a momentum-driven </w:t>
      </w:r>
      <w:r>
        <w:t>weighting</w:t>
      </w:r>
      <w:r w:rsidR="009803D0">
        <w:t xml:space="preserve"> that has seen significant historical exposure to the energy sector, which leads to critique of over-exposure to idiosyncratic event risks (</w:t>
      </w:r>
      <w:proofErr w:type="spellStart"/>
      <w:r w:rsidR="009803D0">
        <w:t>cAnson</w:t>
      </w:r>
      <w:proofErr w:type="spellEnd"/>
      <w:r w:rsidR="009803D0">
        <w:t xml:space="preserve"> 2008), evident from the high standard deviation of returns. By contrast, </w:t>
      </w:r>
      <w:r>
        <w:t>BCI</w:t>
      </w:r>
      <w:r w:rsidR="009803D0">
        <w:t xml:space="preserve"> </w:t>
      </w:r>
      <w:r w:rsidR="00516F50">
        <w:t>aims to create a well-diversified index</w:t>
      </w:r>
      <w:r w:rsidR="00E018E9">
        <w:t xml:space="preserve"> by implementing a 15% weight cap for constituents</w:t>
      </w:r>
      <w:r w:rsidR="00516F50">
        <w:t xml:space="preserve"> (</w:t>
      </w:r>
      <w:proofErr w:type="spellStart"/>
      <w:r w:rsidR="00516F50">
        <w:t>cBloomberg</w:t>
      </w:r>
      <w:proofErr w:type="spellEnd"/>
      <w:r w:rsidR="00516F50">
        <w:t xml:space="preserve"> 2022). </w:t>
      </w:r>
      <w:r w:rsidR="005A657E">
        <w:t>Aside from 5-year average production data, it</w:t>
      </w:r>
      <w:r w:rsidR="00516F50">
        <w:t xml:space="preserve"> also incorporates the 5-year average trading volume of each commodity when assigning weights, which makes it more attractive to institutional investors due to improved</w:t>
      </w:r>
      <w:r w:rsidR="009803D0">
        <w:t xml:space="preserve"> liquidity (ibid). </w:t>
      </w:r>
      <w:r w:rsidR="0041658B">
        <w:t>Note tha</w:t>
      </w:r>
      <w:r w:rsidR="00E018E9">
        <w:t>t</w:t>
      </w:r>
      <w:r w:rsidR="0041658B">
        <w:t xml:space="preserve"> </w:t>
      </w:r>
      <w:r>
        <w:t>BCI</w:t>
      </w:r>
      <w:r w:rsidR="00E018E9">
        <w:t xml:space="preserve"> is the original version of the DJCI</w:t>
      </w:r>
      <w:r w:rsidR="0041658B">
        <w:t xml:space="preserve"> before S\&amp;P decided to </w:t>
      </w:r>
      <w:r w:rsidR="0092098F">
        <w:t>relaunch the index</w:t>
      </w:r>
      <w:r w:rsidR="005A657E">
        <w:t>, removing any consideration of production data in the weighting of DJCI</w:t>
      </w:r>
      <w:r w:rsidR="00E018E9">
        <w:t xml:space="preserve"> (</w:t>
      </w:r>
      <w:proofErr w:type="spellStart"/>
      <w:r w:rsidR="00E018E9">
        <w:t>cS</w:t>
      </w:r>
      <w:proofErr w:type="spellEnd"/>
      <w:r w:rsidR="00E018E9">
        <w:t>\&amp;P Global 2021)</w:t>
      </w:r>
      <w:r w:rsidR="0092098F">
        <w:t>.</w:t>
      </w:r>
    </w:p>
    <w:p w14:paraId="676ACC05" w14:textId="4FAABD75" w:rsidR="009803D0" w:rsidRDefault="009803D0" w:rsidP="009803D0">
      <w:r>
        <w:t xml:space="preserve">An interesting index to include is the CRBI, which is now maintained as part of the </w:t>
      </w:r>
      <w:proofErr w:type="spellStart"/>
      <w:r>
        <w:t>cmdty</w:t>
      </w:r>
      <w:proofErr w:type="spellEnd"/>
      <w:r>
        <w:t xml:space="preserve"> BLS </w:t>
      </w:r>
      <w:r w:rsidR="004339B7">
        <w:t>I</w:t>
      </w:r>
      <w:r>
        <w:t>nd</w:t>
      </w:r>
      <w:r w:rsidR="0092098F">
        <w:t>ex</w:t>
      </w:r>
      <w:r>
        <w:t xml:space="preserve"> by Barchart.com. CRBI is a</w:t>
      </w:r>
      <w:r w:rsidR="005A657E">
        <w:t xml:space="preserve"> </w:t>
      </w:r>
      <w:r>
        <w:t xml:space="preserve">niche index composed of commodities used in the initial stages of production, which renders its composition entirely different from the three indices above (cBarchart.com 2019). Specifically, energy </w:t>
      </w:r>
      <w:r>
        <w:lastRenderedPageBreak/>
        <w:t>commodities and ‘highly fabricated commodities’ are avoided as part of the index’s aim to serve as an indicator for</w:t>
      </w:r>
      <w:r w:rsidR="0092098F">
        <w:t xml:space="preserve"> </w:t>
      </w:r>
      <w:r>
        <w:t xml:space="preserve">manufacturing activity (ibid). Hence, scrap metal is included in place of regular metals, and fats like butter and tallow further differentiate the index from regular commodity indices. The CRBI is also unweighted, using instead the geometric mean of price relatives (ibid). </w:t>
      </w:r>
      <w:r w:rsidR="005A657E">
        <w:t>As such, CRBI may be a proxy for usually non-indexed commodities, and its volume of index speculation is further discussed further in Section 4.2.3.</w:t>
      </w:r>
    </w:p>
    <w:p w14:paraId="1AA93119" w14:textId="77777777" w:rsidR="009803D0" w:rsidRDefault="009803D0" w:rsidP="009803D0">
      <w:r>
        <w:t>[equity indices summary graphics \&amp; table]</w:t>
      </w:r>
    </w:p>
    <w:p w14:paraId="4F79FD9D" w14:textId="5AA62CA0" w:rsidR="009803D0" w:rsidRDefault="009803D0" w:rsidP="009803D0">
      <w:r>
        <w:t xml:space="preserve">The equity indices used – SPX, </w:t>
      </w:r>
      <w:r w:rsidR="009A75F0">
        <w:t>MSCI-W</w:t>
      </w:r>
      <w:r>
        <w:t xml:space="preserve">, </w:t>
      </w:r>
      <w:r w:rsidR="009A75F0">
        <w:t>MSCI-EM</w:t>
      </w:r>
      <w:r>
        <w:t xml:space="preserve"> – are all weighted by market capitalization (</w:t>
      </w:r>
      <w:proofErr w:type="spellStart"/>
      <w:r>
        <w:t>cS</w:t>
      </w:r>
      <w:proofErr w:type="spellEnd"/>
      <w:r>
        <w:t xml:space="preserve">\&amp;P Global 2022b; </w:t>
      </w:r>
      <w:proofErr w:type="spellStart"/>
      <w:r>
        <w:t>cMSCI</w:t>
      </w:r>
      <w:proofErr w:type="spellEnd"/>
      <w:r>
        <w:t xml:space="preserve"> 2022), differing only in geography. SPX captures the 500 largest US companies, </w:t>
      </w:r>
      <w:r w:rsidR="009A75F0">
        <w:t>MSCI-W</w:t>
      </w:r>
      <w:r>
        <w:t xml:space="preserve"> captures some 1,500 eligible companies from developed economies such as the US and UK, while </w:t>
      </w:r>
      <w:r w:rsidR="009A75F0">
        <w:t>MSCI-EM</w:t>
      </w:r>
      <w:r>
        <w:t xml:space="preserve"> captures roughly the same number of companies from developing economies such as China and Russia. By comparing levels of commodity-equity integration across different economies, this study also tests whether risk-sharing is consistent across equity markets, or if it is an anomaly that only occurs in developed/developing economies. As figure [CITE] shows, the prices and return distributions are especially different between equity indices from developed and developing economies. </w:t>
      </w:r>
    </w:p>
    <w:p w14:paraId="28D97225" w14:textId="3172D850" w:rsidR="009803D0" w:rsidRDefault="009803D0" w:rsidP="009803D0">
      <w:pPr>
        <w:pStyle w:val="ListParagraph"/>
        <w:numPr>
          <w:ilvl w:val="0"/>
          <w:numId w:val="10"/>
        </w:numPr>
      </w:pPr>
      <w:r>
        <w:t>Individual Commodities</w:t>
      </w:r>
    </w:p>
    <w:p w14:paraId="57ABA8C1" w14:textId="064E4227" w:rsidR="00F16D3A" w:rsidRDefault="009803D0" w:rsidP="002A4F4F">
      <w:r>
        <w:t>Individual</w:t>
      </w:r>
      <w:r w:rsidR="00F16D3A">
        <w:t xml:space="preserve"> </w:t>
      </w:r>
      <w:r>
        <w:t xml:space="preserve">commodities </w:t>
      </w:r>
      <w:r w:rsidR="00F16D3A">
        <w:t>data are used to analyse whether indexed commodities and non-indexed commodities exhibit differences in equity market integration. The historical prices of front-month futures for oil (WTI) were collected from the US Energy Information Administration. Front-month future prices for generic contracts in gold, hog,</w:t>
      </w:r>
      <w:r w:rsidR="00D646E4">
        <w:t xml:space="preserve"> </w:t>
      </w:r>
      <w:r w:rsidR="00D03781">
        <w:t xml:space="preserve">wheat, </w:t>
      </w:r>
      <w:r w:rsidR="00F16D3A">
        <w:t>lumber, oats, palladium and rubber were collected from Bloomberg.</w:t>
      </w:r>
    </w:p>
    <w:p w14:paraId="1F647D6E" w14:textId="725AC3C9" w:rsidR="009803D0" w:rsidRDefault="009803D0" w:rsidP="002A4F4F">
      <w:r>
        <w:lastRenderedPageBreak/>
        <w:t>[summary stats of mean, std]</w:t>
      </w:r>
    </w:p>
    <w:p w14:paraId="49DCC830" w14:textId="2EBEE4EB" w:rsidR="00C22935" w:rsidRDefault="00BF2850" w:rsidP="002A4F4F">
      <w:r>
        <w:t xml:space="preserve">Due to the number of individual commodity data collected and their lack of consistent price levels, Table [CITE] provides for a quick overview of their characteristics. </w:t>
      </w:r>
      <w:r w:rsidR="00C22935">
        <w:t>Note that while the volumes of index speculation and historical</w:t>
      </w:r>
      <w:r w:rsidR="006040AF">
        <w:t xml:space="preserve"> index</w:t>
      </w:r>
      <w:r w:rsidR="00C22935">
        <w:t xml:space="preserve"> weights of individual commodities would have made </w:t>
      </w:r>
      <w:r w:rsidR="009C3C6D">
        <w:t>the following</w:t>
      </w:r>
      <w:r w:rsidR="00C22935">
        <w:t xml:space="preserve"> analys</w:t>
      </w:r>
      <w:r w:rsidR="00446AAE">
        <w:t>e</w:t>
      </w:r>
      <w:r w:rsidR="00C22935">
        <w:t xml:space="preserve">s more rigorous, I was unable to access the </w:t>
      </w:r>
      <w:r w:rsidR="009C3C6D">
        <w:t xml:space="preserve">relevant data on Bloomberg due to </w:t>
      </w:r>
      <w:r w:rsidR="00446AAE">
        <w:t xml:space="preserve">the university’s </w:t>
      </w:r>
      <w:r w:rsidR="009C3C6D">
        <w:t xml:space="preserve">subscription constraints. </w:t>
      </w:r>
      <w:r w:rsidR="006040AF">
        <w:t>The implication of these</w:t>
      </w:r>
      <w:r w:rsidR="009C3C6D">
        <w:t xml:space="preserve"> limitations will be mentioned in the relevant sections </w:t>
      </w:r>
      <w:r w:rsidR="008F47AA">
        <w:t>during analysis</w:t>
      </w:r>
      <w:r w:rsidR="009C3C6D">
        <w:t>.</w:t>
      </w:r>
    </w:p>
    <w:p w14:paraId="54FAEE1E" w14:textId="390AEE7E" w:rsidR="006040AF" w:rsidRDefault="006B11A5" w:rsidP="006040AF">
      <w:pPr>
        <w:pStyle w:val="ListParagraph"/>
        <w:numPr>
          <w:ilvl w:val="0"/>
          <w:numId w:val="10"/>
        </w:numPr>
      </w:pPr>
      <w:r>
        <w:t xml:space="preserve">Index </w:t>
      </w:r>
      <w:r w:rsidR="001D433E">
        <w:t>Trading Volume</w:t>
      </w:r>
    </w:p>
    <w:p w14:paraId="459AD4A4" w14:textId="7AADFCED" w:rsidR="006040AF" w:rsidRDefault="006040AF" w:rsidP="006040AF">
      <w:r>
        <w:t>[volume data]</w:t>
      </w:r>
    </w:p>
    <w:p w14:paraId="0044F3D3" w14:textId="79DE4D47" w:rsidR="00836897" w:rsidRDefault="00E01E9C" w:rsidP="006040AF">
      <w:r>
        <w:t>M</w:t>
      </w:r>
      <w:r w:rsidR="00DB18E7">
        <w:t xml:space="preserve">onthly </w:t>
      </w:r>
      <w:r w:rsidR="006040AF">
        <w:t xml:space="preserve">trading volume </w:t>
      </w:r>
      <w:r w:rsidR="00DB18E7">
        <w:t xml:space="preserve">of financial products benchmarked against the indices in Section 4.2.1 is collected from Bloomberg, with each data series running from </w:t>
      </w:r>
      <w:r w:rsidR="00C367CC">
        <w:t xml:space="preserve">product </w:t>
      </w:r>
      <w:r w:rsidR="00DB18E7">
        <w:t>inception to December 2021. BlackRock’s iShares exchange traded fund was used for GSCI, and its</w:t>
      </w:r>
      <w:r w:rsidR="008F47AA">
        <w:t xml:space="preserve"> </w:t>
      </w:r>
      <w:proofErr w:type="spellStart"/>
      <w:r w:rsidR="008F47AA">
        <w:t>iPath</w:t>
      </w:r>
      <w:proofErr w:type="spellEnd"/>
      <w:r w:rsidR="008F47AA">
        <w:t xml:space="preserve"> exchange traded notes </w:t>
      </w:r>
      <w:r w:rsidR="00DB18E7">
        <w:t>were used for BCI</w:t>
      </w:r>
      <w:r w:rsidR="00C367CC">
        <w:t xml:space="preserve"> (BCI iShares only launched in 2018). </w:t>
      </w:r>
      <w:r w:rsidR="00DB18E7">
        <w:t xml:space="preserve">Given that BCI was the original version of DJCI, no products benchmarked against the S\&amp;P DJCI was found. No products </w:t>
      </w:r>
      <w:r w:rsidR="00B12036">
        <w:t xml:space="preserve">also </w:t>
      </w:r>
      <w:r w:rsidR="00DB18E7">
        <w:t>exist for the CRBI (</w:t>
      </w:r>
      <w:r w:rsidR="001E0247">
        <w:t xml:space="preserve">Barchart.com </w:t>
      </w:r>
      <w:r w:rsidR="00DB18E7">
        <w:t>BLS).</w:t>
      </w:r>
    </w:p>
    <w:p w14:paraId="49F20E39" w14:textId="25015115" w:rsidR="006040AF" w:rsidRDefault="00B12036" w:rsidP="006040AF">
      <w:r>
        <w:t>Total of SPGI and BCI averages a</w:t>
      </w:r>
      <w:r w:rsidR="00836897">
        <w:t>re plotted in Figure [CITE] as a proxy for</w:t>
      </w:r>
      <w:r>
        <w:t xml:space="preserve"> the aggregate level of index speculation, which should affect GSCI, DJI and BCI similarly as they capture broadly the same basket of commodities. </w:t>
      </w:r>
      <w:r w:rsidR="00E01E9C">
        <w:t xml:space="preserve">Although a </w:t>
      </w:r>
      <w:r w:rsidR="00836897">
        <w:t>more accurate</w:t>
      </w:r>
      <w:r w:rsidR="00E01E9C">
        <w:t xml:space="preserve"> </w:t>
      </w:r>
      <w:r w:rsidR="00836897">
        <w:t>method</w:t>
      </w:r>
      <w:r w:rsidR="00E01E9C">
        <w:t xml:space="preserve"> would be to construct replicating portfolios of each index</w:t>
      </w:r>
      <w:r w:rsidR="00836897">
        <w:t xml:space="preserve">, then estimate the level of speculation from CFTC data for each commodity, this study is constrained by </w:t>
      </w:r>
      <w:r w:rsidR="00836897">
        <w:lastRenderedPageBreak/>
        <w:t>the restricted access to historical index component weights on the academic Bloomberg subscription.</w:t>
      </w:r>
    </w:p>
    <w:p w14:paraId="4738A386" w14:textId="260B7932" w:rsidR="00B00F08" w:rsidRDefault="00F25419" w:rsidP="00B00F08">
      <w:pPr>
        <w:pStyle w:val="ListParagraph"/>
        <w:numPr>
          <w:ilvl w:val="0"/>
          <w:numId w:val="3"/>
        </w:numPr>
      </w:pPr>
      <w:r>
        <w:t>Results</w:t>
      </w:r>
    </w:p>
    <w:p w14:paraId="213532B5" w14:textId="03C96B26" w:rsidR="00B00F08" w:rsidRDefault="00B00F08" w:rsidP="00B00F08">
      <w:r>
        <w:t xml:space="preserve">In this section </w:t>
      </w:r>
      <w:r w:rsidR="00F543E2">
        <w:t>I</w:t>
      </w:r>
      <w:r>
        <w:t xml:space="preserve"> detail </w:t>
      </w:r>
      <w:r w:rsidR="00F543E2">
        <w:t>my</w:t>
      </w:r>
      <w:r>
        <w:t xml:space="preserve"> findings in two parts. First, </w:t>
      </w:r>
      <w:r w:rsidR="00F543E2">
        <w:t>I</w:t>
      </w:r>
      <w:r>
        <w:t xml:space="preserve"> </w:t>
      </w:r>
      <w:r w:rsidR="001B6624">
        <w:t xml:space="preserve">present the level of integration found between commodity and equity indices. Then, </w:t>
      </w:r>
      <w:r w:rsidR="00F543E2">
        <w:t xml:space="preserve">I </w:t>
      </w:r>
      <w:r w:rsidR="001B6624">
        <w:t xml:space="preserve">analyse individual commodities, comparing the effect of financialization </w:t>
      </w:r>
      <w:r w:rsidR="00DF7B2B">
        <w:t xml:space="preserve">on </w:t>
      </w:r>
      <w:r w:rsidR="00455E30">
        <w:t xml:space="preserve">indexed and non-indexed commodities. </w:t>
      </w:r>
    </w:p>
    <w:p w14:paraId="3278C71C" w14:textId="77777777" w:rsidR="00CF6537" w:rsidRDefault="005C2AE0" w:rsidP="00B00F08">
      <w:pPr>
        <w:pStyle w:val="ListParagraph"/>
        <w:numPr>
          <w:ilvl w:val="0"/>
          <w:numId w:val="9"/>
        </w:numPr>
      </w:pPr>
      <w:r>
        <w:t xml:space="preserve">Commodity </w:t>
      </w:r>
      <w:r w:rsidR="00B00F08">
        <w:t>Indices</w:t>
      </w:r>
    </w:p>
    <w:p w14:paraId="61406EDA" w14:textId="22D1E474" w:rsidR="009803D0" w:rsidRDefault="009803D0" w:rsidP="009803D0">
      <w:r>
        <w:t>[table of rolling average return differences]</w:t>
      </w:r>
    </w:p>
    <w:p w14:paraId="6503E3A0" w14:textId="3652DAF0" w:rsidR="009803D0" w:rsidRDefault="009803D0" w:rsidP="00B00F08">
      <w:r>
        <w:t>T</w:t>
      </w:r>
      <w:r w:rsidR="00306202">
        <w:t>he d</w:t>
      </w:r>
      <w:r>
        <w:t>ifferences in</w:t>
      </w:r>
      <w:r w:rsidR="00BF2850">
        <w:t xml:space="preserve"> commodity</w:t>
      </w:r>
      <w:r>
        <w:t xml:space="preserve"> index construction may be observed through the difference in real returns. Although the</w:t>
      </w:r>
      <w:r w:rsidR="00306202">
        <w:t>se</w:t>
      </w:r>
      <w:r>
        <w:t xml:space="preserve"> differences are zero on average (Appendix [CITE]), it has more of a time-varying relationship. Figure [CITE] shows the rolling average of a difference in monthly returns</w:t>
      </w:r>
      <w:r w:rsidR="004D6D92">
        <w:t xml:space="preserve"> constructed using 6</w:t>
      </w:r>
      <w:r w:rsidR="00674B9C">
        <w:t xml:space="preserve">, </w:t>
      </w:r>
      <w:r w:rsidR="004D6D92">
        <w:t>9</w:t>
      </w:r>
      <w:r w:rsidR="00674B9C">
        <w:t xml:space="preserve"> and 12</w:t>
      </w:r>
      <w:r w:rsidR="004D6D92">
        <w:t xml:space="preserve"> year windows for robustness.</w:t>
      </w:r>
      <w:r>
        <w:t xml:space="preserve"> </w:t>
      </w:r>
      <w:r w:rsidR="004D6D92">
        <w:t>The relatively large difference between the CRBI and other indices from 2000-2008</w:t>
      </w:r>
      <w:r>
        <w:t xml:space="preserve"> is attributable to the non-inclusion of energy commodities like crude oil in the CRBI, which experienced significant price surges in that period. Some effects of weighting differences can also be seen between the GSCI, DJCI and BCI, which are otherwise effectively homogenous in composition. Since we are employing a time-varying method, the idea is that these time-varying difference</w:t>
      </w:r>
      <w:r w:rsidR="00306202">
        <w:t>s</w:t>
      </w:r>
      <w:r>
        <w:t xml:space="preserve"> in returns will cause inconsistent levels of integration over periods such as 2000 to 2008 should there be no </w:t>
      </w:r>
      <w:r w:rsidR="00306202">
        <w:t>common</w:t>
      </w:r>
      <w:r>
        <w:t xml:space="preserve"> </w:t>
      </w:r>
      <w:r w:rsidR="00D462E0">
        <w:t xml:space="preserve">driver for </w:t>
      </w:r>
      <w:r>
        <w:t>risk-sharing</w:t>
      </w:r>
      <w:r w:rsidR="00C96B88">
        <w:t xml:space="preserve">. </w:t>
      </w:r>
      <w:r w:rsidR="00D462E0">
        <w:t xml:space="preserve">Different equity indices will also be used </w:t>
      </w:r>
      <w:r w:rsidR="0093645C">
        <w:t>to see if any trends remain consistent across economies.</w:t>
      </w:r>
    </w:p>
    <w:p w14:paraId="665C56E8" w14:textId="610E9ACF" w:rsidR="00701DD2" w:rsidRDefault="00B12036" w:rsidP="00B00F08">
      <w:r w:rsidRPr="00B12036">
        <w:lastRenderedPageBreak/>
        <w:t>Given the differences in commodity index construction, which results in different inter-period returns, the null hypothesis is that inconsistent levels of $\hat\</w:t>
      </w:r>
      <w:proofErr w:type="spellStart"/>
      <w:r w:rsidRPr="00B12036">
        <w:t>beta_t</w:t>
      </w:r>
      <w:proofErr w:type="spellEnd"/>
      <w:r w:rsidRPr="00B12036">
        <w:t>$ is observed through the sample period</w:t>
      </w:r>
      <w:r w:rsidR="00C96B88">
        <w:t xml:space="preserve"> for each equity index</w:t>
      </w:r>
      <w:r w:rsidRPr="00B12036">
        <w:t>. Such a result would imply that the levels of systematic risk integration is not driven by homogenous factors, rather dependent on commodity index construction and equity market conditions. However, should the index speculation theory of risk sharing hold, $\hat\</w:t>
      </w:r>
      <w:proofErr w:type="spellStart"/>
      <w:r w:rsidRPr="00B12036">
        <w:t>beta_t</w:t>
      </w:r>
      <w:proofErr w:type="spellEnd"/>
      <w:r w:rsidRPr="00B12036">
        <w:t>$ would be significantly non-zero after the 2000s, with a consistent trend observed for the $\hat\</w:t>
      </w:r>
      <w:proofErr w:type="spellStart"/>
      <w:r w:rsidRPr="00B12036">
        <w:t>beta_t</w:t>
      </w:r>
      <w:proofErr w:type="spellEnd"/>
      <w:r w:rsidRPr="00B12036">
        <w:t xml:space="preserve">$ of the </w:t>
      </w:r>
      <w:r w:rsidR="004118A1">
        <w:t>investable</w:t>
      </w:r>
      <w:r w:rsidRPr="00B12036">
        <w:t xml:space="preserve"> commodity indices (GSCI, DJCI and BCI) due to financialization. This follows because although there are some deviations </w:t>
      </w:r>
      <w:r w:rsidR="00C96B88">
        <w:t>of magnitude</w:t>
      </w:r>
      <w:r w:rsidRPr="00B12036">
        <w:t xml:space="preserve">, the direction of individual monthly returns should align. </w:t>
      </w:r>
      <w:r w:rsidR="0059777B">
        <w:t xml:space="preserve">As part of the </w:t>
      </w:r>
      <w:r w:rsidR="00092958">
        <w:t>index speculation</w:t>
      </w:r>
      <w:r w:rsidR="0059777B">
        <w:t xml:space="preserve"> theory, $\hat\</w:t>
      </w:r>
      <w:proofErr w:type="spellStart"/>
      <w:r w:rsidR="0059777B">
        <w:t>beta_t</w:t>
      </w:r>
      <w:proofErr w:type="spellEnd"/>
      <w:r w:rsidR="0059777B">
        <w:t xml:space="preserve">$ for CRBI </w:t>
      </w:r>
      <w:r w:rsidR="008C2E6B">
        <w:t xml:space="preserve">should also </w:t>
      </w:r>
      <w:r w:rsidR="0059777B">
        <w:t>be less than the $\hat\</w:t>
      </w:r>
      <w:proofErr w:type="spellStart"/>
      <w:r w:rsidR="0059777B">
        <w:t>beta_t</w:t>
      </w:r>
      <w:proofErr w:type="spellEnd"/>
      <w:r w:rsidR="0059777B">
        <w:t xml:space="preserve">$ for the </w:t>
      </w:r>
      <w:r w:rsidR="004118A1">
        <w:t xml:space="preserve">investable </w:t>
      </w:r>
      <w:r w:rsidR="0059777B">
        <w:t>indices</w:t>
      </w:r>
      <w:r w:rsidR="00AC2BA7">
        <w:t xml:space="preserve"> due to the l</w:t>
      </w:r>
      <w:r w:rsidR="006177CC">
        <w:t>ack</w:t>
      </w:r>
      <w:r w:rsidR="00AC2BA7">
        <w:t xml:space="preserve"> of capital allocation</w:t>
      </w:r>
      <w:r w:rsidR="006177CC">
        <w:t>.</w:t>
      </w:r>
    </w:p>
    <w:p w14:paraId="0A00E892" w14:textId="7D74774C" w:rsidR="004F6C80" w:rsidRDefault="00AC2BA7" w:rsidP="00B00F08">
      <w:r>
        <w:t>[beta plot]</w:t>
      </w:r>
    </w:p>
    <w:p w14:paraId="09A82403" w14:textId="4322699A" w:rsidR="000E0ADB" w:rsidRDefault="00AC2BA7" w:rsidP="00B00F08">
      <w:r>
        <w:t xml:space="preserve">Figure [CITE] presents </w:t>
      </w:r>
      <w:r w:rsidR="00F543E2">
        <w:t>the</w:t>
      </w:r>
      <w:r>
        <w:t xml:space="preserve"> </w:t>
      </w:r>
      <w:r w:rsidR="00F543E2">
        <w:t>smoothed $\hat\</w:t>
      </w:r>
      <w:proofErr w:type="spellStart"/>
      <w:r w:rsidR="00F543E2">
        <w:t>beta_t</w:t>
      </w:r>
      <w:proofErr w:type="spellEnd"/>
      <w:r w:rsidR="00F543E2">
        <w:t xml:space="preserve">$ values between the commodity indices tested and the SPX, </w:t>
      </w:r>
      <w:r w:rsidR="009A75F0">
        <w:t>MSCI-W</w:t>
      </w:r>
      <w:r w:rsidR="00F543E2">
        <w:t xml:space="preserve"> and </w:t>
      </w:r>
      <w:r w:rsidR="009A75F0">
        <w:t>MSCI-EM</w:t>
      </w:r>
      <w:r w:rsidR="00F543E2">
        <w:t xml:space="preserve">. </w:t>
      </w:r>
      <w:r w:rsidR="00BC0810">
        <w:t>D</w:t>
      </w:r>
      <w:r w:rsidR="00AF1162">
        <w:t>ue to our data cleaning, a $\hat\</w:t>
      </w:r>
      <w:proofErr w:type="spellStart"/>
      <w:r w:rsidR="00AF1162">
        <w:t>beta_t</w:t>
      </w:r>
      <w:proofErr w:type="spellEnd"/>
      <w:r w:rsidR="00AF1162">
        <w:t xml:space="preserve">$ </w:t>
      </w:r>
      <w:r w:rsidR="00941792">
        <w:t xml:space="preserve">should be interpreted to represent the co-movement of the annual standard deviations of returns rather than returns itself. </w:t>
      </w:r>
      <w:r w:rsidR="006C331B">
        <w:t>Overall, it appears that commodity-equity</w:t>
      </w:r>
      <w:r w:rsidR="00092958">
        <w:t xml:space="preserve"> systematic risk</w:t>
      </w:r>
      <w:r w:rsidR="006C331B">
        <w:t xml:space="preserve"> has increased substantially from 1990 to 2012, but has decreased in magnitude from between 2014 and 2017 before rising again. </w:t>
      </w:r>
      <w:r w:rsidR="00170950">
        <w:t>A</w:t>
      </w:r>
      <w:r w:rsidR="00436033">
        <w:t xml:space="preserve"> </w:t>
      </w:r>
      <w:r w:rsidR="000E0ADB">
        <w:t>$\hat\</w:t>
      </w:r>
      <w:proofErr w:type="spellStart"/>
      <w:r w:rsidR="000E0ADB">
        <w:t>beta_t</w:t>
      </w:r>
      <w:proofErr w:type="spellEnd"/>
      <w:r w:rsidR="000E0ADB">
        <w:t xml:space="preserve">$ of around 0.7 is also observed at the peak levels of integration for both </w:t>
      </w:r>
      <w:r w:rsidR="009A75F0">
        <w:t>MSCI-W</w:t>
      </w:r>
      <w:r w:rsidR="000E0ADB">
        <w:t xml:space="preserve"> and </w:t>
      </w:r>
      <w:r w:rsidR="009A75F0">
        <w:t>MSCI-EM</w:t>
      </w:r>
      <w:r w:rsidR="000E0ADB">
        <w:t xml:space="preserve">, </w:t>
      </w:r>
      <w:r w:rsidR="00CA4904">
        <w:t xml:space="preserve">suggesting </w:t>
      </w:r>
      <w:r w:rsidR="00AF1162">
        <w:t xml:space="preserve">risk sharing </w:t>
      </w:r>
      <w:r w:rsidR="007138E5">
        <w:t>remains consistent across economies</w:t>
      </w:r>
      <w:r w:rsidR="00CA4904">
        <w:t>.</w:t>
      </w:r>
      <w:r w:rsidR="007C3948" w:rsidRPr="007C3948">
        <w:t xml:space="preserve"> </w:t>
      </w:r>
      <w:r w:rsidR="007C3948">
        <w:t xml:space="preserve">The roughly 0.3 </w:t>
      </w:r>
      <w:r w:rsidR="00311EC1">
        <w:t xml:space="preserve">higher </w:t>
      </w:r>
      <w:r w:rsidR="007C3948">
        <w:t xml:space="preserve">peak integration reached for the MSCI indices than the SPX further indicates that risk sharing </w:t>
      </w:r>
      <w:r w:rsidR="00436033">
        <w:t>is more pronounced across a basket of economies than any single economy.</w:t>
      </w:r>
      <w:r w:rsidR="00CA4904">
        <w:t xml:space="preserve"> </w:t>
      </w:r>
      <w:r w:rsidR="007C3948">
        <w:t>In general</w:t>
      </w:r>
      <w:r w:rsidR="00CA4904">
        <w:t>, t</w:t>
      </w:r>
      <w:r w:rsidR="00766A6F">
        <w:t xml:space="preserve">he </w:t>
      </w:r>
      <w:r w:rsidR="00AF1162">
        <w:t xml:space="preserve">trend </w:t>
      </w:r>
      <w:r w:rsidR="00766A6F">
        <w:t>c</w:t>
      </w:r>
      <w:r w:rsidR="00AF1162">
        <w:t>onsistency</w:t>
      </w:r>
      <w:r w:rsidR="00766A6F">
        <w:t xml:space="preserve"> of how </w:t>
      </w:r>
      <w:r w:rsidR="00766A6F">
        <w:lastRenderedPageBreak/>
        <w:t>$\hat\</w:t>
      </w:r>
      <w:proofErr w:type="spellStart"/>
      <w:r w:rsidR="00766A6F">
        <w:t>beta_t</w:t>
      </w:r>
      <w:proofErr w:type="spellEnd"/>
      <w:r w:rsidR="00766A6F">
        <w:t>$ for each commodity index evolve</w:t>
      </w:r>
      <w:r w:rsidR="009B04E4">
        <w:t>s</w:t>
      </w:r>
      <w:r w:rsidR="00766A6F">
        <w:t xml:space="preserve"> is a strong indicator </w:t>
      </w:r>
      <w:r w:rsidR="000E0ADB">
        <w:t>of risk sharing</w:t>
      </w:r>
      <w:r w:rsidR="00582B56">
        <w:t xml:space="preserve">, </w:t>
      </w:r>
      <w:r w:rsidR="00C41403">
        <w:t xml:space="preserve">with the level of integration </w:t>
      </w:r>
      <w:r w:rsidR="009B04E4">
        <w:t>being</w:t>
      </w:r>
      <w:r w:rsidR="00582B56">
        <w:t xml:space="preserve"> invariant to </w:t>
      </w:r>
      <w:r w:rsidR="008C2E6B">
        <w:t xml:space="preserve">commodity </w:t>
      </w:r>
      <w:r w:rsidR="00582B56">
        <w:t>index construction</w:t>
      </w:r>
      <w:r w:rsidR="0069753D">
        <w:t xml:space="preserve"> and</w:t>
      </w:r>
      <w:r w:rsidR="008C2E6B">
        <w:t xml:space="preserve"> equity market idiosyncrasies</w:t>
      </w:r>
      <w:r w:rsidR="0069753D">
        <w:t>.</w:t>
      </w:r>
      <w:r w:rsidR="00582B56">
        <w:t xml:space="preserve"> </w:t>
      </w:r>
      <w:r w:rsidR="0069753D">
        <w:t xml:space="preserve">The level of integration is also mostly invariant to </w:t>
      </w:r>
      <w:r w:rsidR="00582B56">
        <w:t>business cycles (US recession</w:t>
      </w:r>
      <w:r w:rsidR="00C85D0B">
        <w:t>s</w:t>
      </w:r>
      <w:r w:rsidR="00582B56">
        <w:t xml:space="preserve"> shaded in grey)</w:t>
      </w:r>
      <w:r w:rsidR="0069753D">
        <w:t xml:space="preserve">, though slight spikes are observed </w:t>
      </w:r>
      <w:r w:rsidR="006A3018">
        <w:t xml:space="preserve">during recessionary periods </w:t>
      </w:r>
      <w:r w:rsidR="0069753D">
        <w:t xml:space="preserve">for </w:t>
      </w:r>
      <w:r w:rsidR="00194A77">
        <w:t>SPX integration.</w:t>
      </w:r>
    </w:p>
    <w:p w14:paraId="29A56401" w14:textId="0A55DB4D" w:rsidR="007138E5" w:rsidRDefault="00CA4904" w:rsidP="00B00F08">
      <w:r>
        <w:t>Risk sharing</w:t>
      </w:r>
      <w:r w:rsidR="000E0ADB">
        <w:t xml:space="preserve"> </w:t>
      </w:r>
      <w:r w:rsidR="004B6778">
        <w:t>caused by</w:t>
      </w:r>
      <w:r w:rsidR="000E0ADB">
        <w:t xml:space="preserve"> index speculation </w:t>
      </w:r>
      <w:r w:rsidR="00170950">
        <w:t xml:space="preserve">is </w:t>
      </w:r>
      <w:r w:rsidR="00436033">
        <w:t>evidenced</w:t>
      </w:r>
      <w:r w:rsidR="00170950">
        <w:t xml:space="preserve"> by the</w:t>
      </w:r>
      <w:r w:rsidR="00962170">
        <w:t xml:space="preserve"> fluctuations in integration similar to </w:t>
      </w:r>
      <w:r w:rsidR="001E0247">
        <w:t>trends observed for</w:t>
      </w:r>
      <w:r w:rsidR="00962170">
        <w:t xml:space="preserve"> speculative trading volumes in Figure [CITE]. Furthermore, there is a</w:t>
      </w:r>
      <w:r w:rsidR="00170950">
        <w:t xml:space="preserve"> slower increase in integration for CRBI</w:t>
      </w:r>
      <w:r w:rsidR="009B04E4">
        <w:t xml:space="preserve">, which is our </w:t>
      </w:r>
      <w:r w:rsidR="00962170">
        <w:t>non-</w:t>
      </w:r>
      <w:r w:rsidR="004118A1">
        <w:t>investable</w:t>
      </w:r>
      <w:r w:rsidR="00962170">
        <w:t xml:space="preserve"> index</w:t>
      </w:r>
      <w:r w:rsidR="00436033">
        <w:t xml:space="preserve">. </w:t>
      </w:r>
      <w:r w:rsidR="004B6778">
        <w:t xml:space="preserve">As the theory posits, lower levels of capital allocation to an index would result in lower levels of equity integration. </w:t>
      </w:r>
      <w:r w:rsidR="00436033">
        <w:t>However,</w:t>
      </w:r>
      <w:r w:rsidR="00170950">
        <w:t xml:space="preserve"> it is surprising that CRBI reached the same level of equity integration</w:t>
      </w:r>
      <w:r w:rsidR="00C41403">
        <w:t xml:space="preserve"> from 2008 to 2012</w:t>
      </w:r>
      <w:r w:rsidR="00170950">
        <w:t xml:space="preserve"> as the </w:t>
      </w:r>
      <w:r w:rsidR="004118A1">
        <w:t>investable</w:t>
      </w:r>
      <w:r w:rsidR="00170950">
        <w:t xml:space="preserve"> indices</w:t>
      </w:r>
      <w:r w:rsidR="00237F70">
        <w:t>, which this study</w:t>
      </w:r>
      <w:r w:rsidR="00902CB6">
        <w:t xml:space="preserve"> alone</w:t>
      </w:r>
      <w:r w:rsidR="00237F70">
        <w:t xml:space="preserve"> is unable to explain</w:t>
      </w:r>
      <w:r w:rsidR="00E01E9C">
        <w:t xml:space="preserve"> (but is discussed in the </w:t>
      </w:r>
      <w:r w:rsidR="00902CB6">
        <w:t>conclusion of Section 5.2</w:t>
      </w:r>
      <w:r w:rsidR="00E01E9C">
        <w:t>)</w:t>
      </w:r>
      <w:r w:rsidR="00237F70">
        <w:t>.</w:t>
      </w:r>
      <w:r w:rsidR="005A1DE3">
        <w:t xml:space="preserve"> Overall, the </w:t>
      </w:r>
      <w:proofErr w:type="gramStart"/>
      <w:r w:rsidR="005A1DE3">
        <w:t>fluctuations</w:t>
      </w:r>
      <w:proofErr w:type="gramEnd"/>
      <w:r w:rsidR="005A1DE3">
        <w:t xml:space="preserve"> in integration roughly corresponds with our </w:t>
      </w:r>
      <w:r w:rsidR="001136C0">
        <w:t xml:space="preserve">crude </w:t>
      </w:r>
      <w:r w:rsidR="005A1DE3">
        <w:t>measure of index speculation in Figure [CITE]</w:t>
      </w:r>
      <w:r w:rsidR="001136C0">
        <w:t>, which is supportive of the index speculation theory. Appendix [CITE]</w:t>
      </w:r>
      <w:r w:rsidR="0048250D">
        <w:t xml:space="preserve"> further</w:t>
      </w:r>
      <w:r w:rsidR="001136C0">
        <w:t xml:space="preserve"> reports </w:t>
      </w:r>
      <w:r w:rsidR="00925812">
        <w:t>a</w:t>
      </w:r>
      <w:r w:rsidR="004118A1">
        <w:t xml:space="preserve"> </w:t>
      </w:r>
      <w:r w:rsidR="00E01E9C">
        <w:t>significant</w:t>
      </w:r>
      <w:r w:rsidR="00925812">
        <w:t xml:space="preserve"> </w:t>
      </w:r>
      <w:r w:rsidR="001136C0">
        <w:t>l</w:t>
      </w:r>
      <w:r w:rsidR="004765B0">
        <w:t>ead-lag relationship</w:t>
      </w:r>
      <w:r w:rsidR="001136C0">
        <w:t xml:space="preserve"> between $\hat\</w:t>
      </w:r>
      <w:proofErr w:type="spellStart"/>
      <w:r w:rsidR="001136C0">
        <w:t>beta_t</w:t>
      </w:r>
      <w:proofErr w:type="spellEnd"/>
      <w:r w:rsidR="001136C0">
        <w:t xml:space="preserve">$ and </w:t>
      </w:r>
      <w:r w:rsidR="004118A1">
        <w:t>change</w:t>
      </w:r>
      <w:r w:rsidR="00C87836">
        <w:t xml:space="preserve"> in</w:t>
      </w:r>
      <w:r w:rsidR="004118A1">
        <w:t xml:space="preserve"> </w:t>
      </w:r>
      <w:r w:rsidR="001136C0">
        <w:t>index speculation volume.</w:t>
      </w:r>
    </w:p>
    <w:p w14:paraId="3AA7D7AB" w14:textId="5AB6DBFF" w:rsidR="00C3647E" w:rsidRDefault="009B04E4" w:rsidP="00B00F08">
      <w:r>
        <w:t>[probability of betas]</w:t>
      </w:r>
    </w:p>
    <w:p w14:paraId="3422A6E5" w14:textId="0B6AF04D" w:rsidR="009B04E4" w:rsidRDefault="00F02AC1" w:rsidP="00B00F08">
      <w:r>
        <w:t>$\hat\</w:t>
      </w:r>
      <w:proofErr w:type="spellStart"/>
      <w:r>
        <w:t>beta_t</w:t>
      </w:r>
      <w:proofErr w:type="spellEnd"/>
      <w:r>
        <w:t>$ only represents the most likely position of $\</w:t>
      </w:r>
      <w:proofErr w:type="spellStart"/>
      <w:r>
        <w:t>beta_t</w:t>
      </w:r>
      <w:proofErr w:type="spellEnd"/>
      <w:r>
        <w:t>$, so for rigour we also need to check the magnitude of $</w:t>
      </w:r>
      <w:proofErr w:type="gramStart"/>
      <w:r w:rsidR="00FC45EF">
        <w:t>P(</w:t>
      </w:r>
      <w:proofErr w:type="gramEnd"/>
      <w:r>
        <w:t>\hat\</w:t>
      </w:r>
      <w:proofErr w:type="spellStart"/>
      <w:r>
        <w:t>beta_t</w:t>
      </w:r>
      <w:proofErr w:type="spellEnd"/>
      <w:r>
        <w:t xml:space="preserve"> &gt; 0)$ to confirm the significance of positive integration. </w:t>
      </w:r>
      <w:r w:rsidR="009B04E4">
        <w:t>Figure [CITE] represents the credible level of positive integration where $\hat\</w:t>
      </w:r>
      <w:proofErr w:type="spellStart"/>
      <w:r w:rsidR="009B04E4">
        <w:t>beta_t</w:t>
      </w:r>
      <w:proofErr w:type="spellEnd"/>
      <w:r w:rsidR="009B04E4">
        <w:t xml:space="preserve"> &gt; 0$, constructed using</w:t>
      </w:r>
      <w:r w:rsidR="0010281E">
        <w:t xml:space="preserve"> variance term</w:t>
      </w:r>
      <w:r w:rsidR="009B04E4">
        <w:t xml:space="preserve"> </w:t>
      </w:r>
      <w:r w:rsidR="00DB37FD">
        <w:t>$</w:t>
      </w:r>
      <w:proofErr w:type="spellStart"/>
      <w:r w:rsidR="00DB37FD">
        <w:t>P_t</w:t>
      </w:r>
      <w:proofErr w:type="spellEnd"/>
      <w:r w:rsidR="00DB37FD">
        <w:t>$. Note that unlike an ordinary regression,</w:t>
      </w:r>
      <w:r w:rsidR="009823C7">
        <w:t xml:space="preserve"> </w:t>
      </w:r>
      <w:r w:rsidR="00DB37FD">
        <w:t xml:space="preserve">the state probabilities </w:t>
      </w:r>
      <w:r w:rsidR="009823C7">
        <w:t xml:space="preserve">cannot be summarized </w:t>
      </w:r>
      <w:r w:rsidR="00DB37FD">
        <w:t xml:space="preserve">into one confidence level, which will also defeat the purpose of the Kalman filter in </w:t>
      </w:r>
      <w:r w:rsidR="00DB37FD">
        <w:lastRenderedPageBreak/>
        <w:t>uncovering time trends.</w:t>
      </w:r>
      <w:r w:rsidR="0010281E">
        <w:t xml:space="preserve"> However, one can assign an arbitrary cut-off if so disposed, for example</w:t>
      </w:r>
      <w:r w:rsidR="009823C7">
        <w:t xml:space="preserve"> assigning significance using</w:t>
      </w:r>
      <w:r w:rsidR="0010281E">
        <w:t xml:space="preserve"> </w:t>
      </w:r>
      <w:r w:rsidR="00D955B0">
        <w:t>$</w:t>
      </w:r>
      <w:proofErr w:type="gramStart"/>
      <w:r w:rsidR="0010281E">
        <w:t>P(</w:t>
      </w:r>
      <w:proofErr w:type="gramEnd"/>
      <w:r w:rsidR="0010281E">
        <w:t>\hat\</w:t>
      </w:r>
      <w:proofErr w:type="spellStart"/>
      <w:r w:rsidR="0010281E">
        <w:t>beta_t</w:t>
      </w:r>
      <w:proofErr w:type="spellEnd"/>
      <w:r w:rsidR="0010281E">
        <w:t xml:space="preserve"> &gt; 0) </w:t>
      </w:r>
      <w:r w:rsidR="009823C7">
        <w:t>&gt;</w:t>
      </w:r>
      <w:r w:rsidR="0010281E">
        <w:t xml:space="preserve"> 0.9$</w:t>
      </w:r>
      <w:r w:rsidR="009823C7">
        <w:t>, such that anything below the 0.9 threshold would be inconclusive of integration. I will make no such cut-off, because it is evident positive integration was reached</w:t>
      </w:r>
      <w:r w:rsidR="00A62364">
        <w:t xml:space="preserve"> around the 2008 global financial crisis</w:t>
      </w:r>
      <w:r w:rsidR="007C703C">
        <w:t xml:space="preserve"> and for periods thereafter</w:t>
      </w:r>
      <w:r w:rsidR="009823C7">
        <w:t>.</w:t>
      </w:r>
      <w:r w:rsidR="009071BF">
        <w:t xml:space="preserve"> T</w:t>
      </w:r>
      <w:r w:rsidR="0010281E">
        <w:t xml:space="preserve">he credible levels are </w:t>
      </w:r>
      <w:r w:rsidR="00201AA2">
        <w:t xml:space="preserve">also </w:t>
      </w:r>
      <w:r w:rsidR="0010281E">
        <w:t xml:space="preserve">useful for visualizing the speed of integration, with CRBI noticeably lagging the other commodity indices in integration with </w:t>
      </w:r>
      <w:r w:rsidR="009A75F0">
        <w:t>MSCI-W</w:t>
      </w:r>
      <w:r w:rsidR="0010281E">
        <w:t xml:space="preserve"> and </w:t>
      </w:r>
      <w:r w:rsidR="009A75F0">
        <w:t>MSCI-EM</w:t>
      </w:r>
      <w:r w:rsidR="0010281E">
        <w:t>.</w:t>
      </w:r>
      <w:r>
        <w:t xml:space="preserve"> </w:t>
      </w:r>
    </w:p>
    <w:p w14:paraId="015F33FA" w14:textId="04219DE5" w:rsidR="00F16533" w:rsidRDefault="00F16533" w:rsidP="00B00F08">
      <w:r>
        <w:t>[</w:t>
      </w:r>
      <w:proofErr w:type="spellStart"/>
      <w:r>
        <w:t>backtesting</w:t>
      </w:r>
      <w:proofErr w:type="spellEnd"/>
      <w:r>
        <w:t xml:space="preserve"> results against RW, OLS</w:t>
      </w:r>
      <w:r w:rsidR="00EC2796">
        <w:t>, rolling OLS</w:t>
      </w:r>
      <w:r w:rsidR="00D03346">
        <w:t xml:space="preserve"> – also give KF mean and OLS mean</w:t>
      </w:r>
      <w:r>
        <w:t>]</w:t>
      </w:r>
    </w:p>
    <w:p w14:paraId="3637B777" w14:textId="62E6DFC5" w:rsidR="00F16533" w:rsidRDefault="0026561B" w:rsidP="00B00F08">
      <w:r>
        <w:t xml:space="preserve">To justify my results against a time-invariant approach, </w:t>
      </w:r>
      <w:r w:rsidR="00656B25">
        <w:t>Table [CITE] shows the back-testing results for the $\hat\</w:t>
      </w:r>
      <w:proofErr w:type="spellStart"/>
      <w:r w:rsidR="00656B25">
        <w:t>beta_t</w:t>
      </w:r>
      <w:proofErr w:type="spellEnd"/>
      <w:r w:rsidR="00656B25">
        <w:t xml:space="preserve">$ from the Kalman filter (KF) compared to the random-walk (RW) assumption that $\beta = 0$ </w:t>
      </w:r>
      <w:r w:rsidR="00A455F7">
        <w:t xml:space="preserve">(no systematic risk exists) </w:t>
      </w:r>
      <w:r w:rsidR="00656B25">
        <w:t xml:space="preserve">and $\hat\beta$ estimated using ordinary least squares (OLS) regression. The results suggest that the random-walk assumption </w:t>
      </w:r>
      <w:r w:rsidR="00A455F7">
        <w:t xml:space="preserve">is worst at describing the sample data, while assuming a constant $\beta$ is worse than the time-varying model employed by this paper. Hence, </w:t>
      </w:r>
      <w:r w:rsidR="00FA5035">
        <w:t xml:space="preserve">back testing confirms </w:t>
      </w:r>
      <w:r w:rsidR="00A455F7">
        <w:t>the</w:t>
      </w:r>
      <w:r w:rsidR="00FA5035">
        <w:t xml:space="preserve"> methodology behind this paper – that the </w:t>
      </w:r>
      <w:r w:rsidR="00A455F7">
        <w:t>commodity-equity risk-sharing relationship should not be assessed ‘on average’, but with regards to time due to the changing dynamics of the market.</w:t>
      </w:r>
    </w:p>
    <w:p w14:paraId="1893AE18" w14:textId="62BF3AE7" w:rsidR="00DB2ADF" w:rsidRDefault="00DB2ADF" w:rsidP="00B00F08">
      <w:r>
        <w:t>[correlation plot]</w:t>
      </w:r>
    </w:p>
    <w:p w14:paraId="5D43927C" w14:textId="139DDE5C" w:rsidR="00DB2ADF" w:rsidRDefault="00F02828" w:rsidP="00B00F08">
      <w:r>
        <w:t>For robustness</w:t>
      </w:r>
      <w:r w:rsidR="00971F6F">
        <w:t xml:space="preserve">, </w:t>
      </w:r>
      <w:r w:rsidR="00283F8F">
        <w:t>a comparison with</w:t>
      </w:r>
      <w:r w:rsidR="00DB2ADF">
        <w:t xml:space="preserve"> the traditional rolling correlation method</w:t>
      </w:r>
      <w:r w:rsidR="00971F6F">
        <w:t xml:space="preserve"> is made.</w:t>
      </w:r>
      <w:r w:rsidR="00DB2ADF">
        <w:t xml:space="preserve"> Figure [CITE] presents 5-year rolling correlation coefficients in the same format as Figure [CITE] above. The correlation</w:t>
      </w:r>
      <w:r w:rsidR="00971F6F">
        <w:t>s</w:t>
      </w:r>
      <w:r w:rsidR="00DB2ADF">
        <w:t xml:space="preserve"> </w:t>
      </w:r>
      <w:r w:rsidR="00971F6F">
        <w:t xml:space="preserve">computed </w:t>
      </w:r>
      <w:r w:rsidR="00DB2ADF">
        <w:t xml:space="preserve">correspond closely with </w:t>
      </w:r>
      <w:r w:rsidR="00C9206D">
        <w:t>the series of $\hat\</w:t>
      </w:r>
      <w:proofErr w:type="spellStart"/>
      <w:r w:rsidR="00C9206D">
        <w:t>beta_t</w:t>
      </w:r>
      <w:proofErr w:type="spellEnd"/>
      <w:r w:rsidR="00C9206D">
        <w:t xml:space="preserve">$ in Figure [CITE], which implies </w:t>
      </w:r>
      <w:r w:rsidR="00092958">
        <w:t>this study’s</w:t>
      </w:r>
      <w:r w:rsidR="00C9206D">
        <w:t xml:space="preserve"> </w:t>
      </w:r>
      <w:r w:rsidR="00746AFE">
        <w:t>conclusion is</w:t>
      </w:r>
      <w:r w:rsidR="00C9206D">
        <w:t xml:space="preserve"> consistent with the </w:t>
      </w:r>
      <w:r w:rsidR="00746AFE">
        <w:t>conclusion</w:t>
      </w:r>
      <w:r w:rsidR="00092958">
        <w:t xml:space="preserve"> of commodity-equity integration that</w:t>
      </w:r>
      <w:r w:rsidR="00C9206D">
        <w:t xml:space="preserve"> would have been</w:t>
      </w:r>
      <w:r w:rsidR="00746AFE">
        <w:t xml:space="preserve"> reached</w:t>
      </w:r>
      <w:r w:rsidR="00C9206D">
        <w:t xml:space="preserve"> </w:t>
      </w:r>
      <w:r w:rsidR="00C9206D">
        <w:lastRenderedPageBreak/>
        <w:t>under the</w:t>
      </w:r>
      <w:r w:rsidR="00092958">
        <w:t xml:space="preserve"> </w:t>
      </w:r>
      <w:r w:rsidR="0026561B">
        <w:t xml:space="preserve">Tang and </w:t>
      </w:r>
      <w:proofErr w:type="spellStart"/>
      <w:r w:rsidR="0026561B">
        <w:t>Xiong</w:t>
      </w:r>
      <w:proofErr w:type="spellEnd"/>
      <w:r w:rsidR="0026561B">
        <w:t xml:space="preserve"> (2012) </w:t>
      </w:r>
      <w:r w:rsidR="00BC0810">
        <w:t>method</w:t>
      </w:r>
      <w:r w:rsidR="00C9206D">
        <w:t>.</w:t>
      </w:r>
      <w:r w:rsidR="00BC0810">
        <w:t xml:space="preserve"> However, the benefit of the systematic risk model is its interpretability of how much a 1 standard deviation change in $x$ would affect $y$, and also its ability to be backtested for accuracy.</w:t>
      </w:r>
      <w:r w:rsidR="00C9206D">
        <w:t xml:space="preserve"> </w:t>
      </w:r>
      <w:r w:rsidR="00472321">
        <w:t xml:space="preserve">Nevertheless, Figure [CITE] is also beneficial by confirming that </w:t>
      </w:r>
      <w:r w:rsidR="0093645C">
        <w:t>a</w:t>
      </w:r>
      <w:r w:rsidR="00746AFE">
        <w:t xml:space="preserve"> linear assumption for the $\</w:t>
      </w:r>
      <w:proofErr w:type="spellStart"/>
      <w:r w:rsidR="00746AFE">
        <w:t>beta_t</w:t>
      </w:r>
      <w:proofErr w:type="spellEnd"/>
      <w:r w:rsidR="00746AFE">
        <w:t>$ model is valid</w:t>
      </w:r>
      <w:r w:rsidR="00472321">
        <w:t>, especially when integration has been highest.</w:t>
      </w:r>
    </w:p>
    <w:p w14:paraId="33B1030F" w14:textId="594375DA" w:rsidR="00CA4904" w:rsidRDefault="009071BF" w:rsidP="00B00F08">
      <w:pPr>
        <w:rPr>
          <w:color w:val="FF0000"/>
        </w:rPr>
      </w:pPr>
      <w:r>
        <w:t>Overall,</w:t>
      </w:r>
      <w:r w:rsidR="001941F6">
        <w:t xml:space="preserve"> the study above </w:t>
      </w:r>
      <w:r w:rsidR="00621AE3">
        <w:t>provides evidence</w:t>
      </w:r>
      <w:r w:rsidR="001941F6">
        <w:t xml:space="preserve"> tha</w:t>
      </w:r>
      <w:r w:rsidR="00B777C9">
        <w:t>t commodity-equity</w:t>
      </w:r>
      <w:r w:rsidR="000A3728">
        <w:t xml:space="preserve"> risk </w:t>
      </w:r>
      <w:r w:rsidR="000F07E5">
        <w:t xml:space="preserve">for </w:t>
      </w:r>
      <w:r w:rsidR="000A3728">
        <w:t>sharing</w:t>
      </w:r>
      <w:r w:rsidR="000F07E5">
        <w:t xml:space="preserve"> for commodity indices</w:t>
      </w:r>
      <w:r w:rsidR="000A3728">
        <w:t xml:space="preserve"> </w:t>
      </w:r>
      <w:r w:rsidR="001941F6">
        <w:t xml:space="preserve">1) </w:t>
      </w:r>
      <w:r w:rsidR="00EA1B7E">
        <w:t>is consistent with the theory of index speculation</w:t>
      </w:r>
      <w:r w:rsidR="001941F6">
        <w:t>, 2) is invariant to commodity</w:t>
      </w:r>
      <w:r w:rsidR="000A3728">
        <w:t xml:space="preserve"> index</w:t>
      </w:r>
      <w:r w:rsidR="001941F6">
        <w:t xml:space="preserve"> construction, 3) is invariant </w:t>
      </w:r>
      <w:r w:rsidR="00621AE3">
        <w:t>to</w:t>
      </w:r>
      <w:r w:rsidR="006D0690">
        <w:t xml:space="preserve"> levels of</w:t>
      </w:r>
      <w:r w:rsidR="001941F6">
        <w:t xml:space="preserve"> economi</w:t>
      </w:r>
      <w:r w:rsidR="00621AE3">
        <w:t>c developmen</w:t>
      </w:r>
      <w:r w:rsidR="009015D5">
        <w:t>t</w:t>
      </w:r>
      <w:r w:rsidR="000F07E5">
        <w:t xml:space="preserve"> in equity markets</w:t>
      </w:r>
      <w:r w:rsidR="001941F6">
        <w:t xml:space="preserve">, 4) </w:t>
      </w:r>
      <w:r w:rsidR="0006564A">
        <w:t>is invariant to</w:t>
      </w:r>
      <w:r w:rsidR="001941F6">
        <w:t xml:space="preserve"> economic cycles, and 5)</w:t>
      </w:r>
      <w:r w:rsidR="000A3728">
        <w:t xml:space="preserve"> </w:t>
      </w:r>
      <w:r w:rsidR="00C636E3">
        <w:t>is consistent with evidence from</w:t>
      </w:r>
      <w:r w:rsidR="001941F6">
        <w:t xml:space="preserve"> prior literature</w:t>
      </w:r>
      <w:r>
        <w:t xml:space="preserve">. </w:t>
      </w:r>
      <w:r w:rsidR="00C3647E">
        <w:t>P</w:t>
      </w:r>
      <w:r w:rsidR="00F16533">
        <w:t>re-financialization p</w:t>
      </w:r>
      <w:r w:rsidR="00C3647E">
        <w:t>apers finding littl</w:t>
      </w:r>
      <w:r w:rsidR="00F16533">
        <w:t>e correlation</w:t>
      </w:r>
      <w:r w:rsidR="00C3647E">
        <w:t xml:space="preserve"> between commodity indices and the SPX </w:t>
      </w:r>
      <w:r w:rsidR="00F16533">
        <w:t>are</w:t>
      </w:r>
      <w:r w:rsidR="00C3647E">
        <w:t xml:space="preserve"> captured by our results</w:t>
      </w:r>
      <w:r w:rsidR="00F16533">
        <w:t xml:space="preserve"> (Gorton and </w:t>
      </w:r>
      <w:proofErr w:type="spellStart"/>
      <w:r w:rsidR="00F16533">
        <w:t>Rouwenhorst</w:t>
      </w:r>
      <w:proofErr w:type="spellEnd"/>
      <w:r w:rsidR="00F16533">
        <w:t xml:space="preserve"> 2006)</w:t>
      </w:r>
      <w:r w:rsidR="008B55E9">
        <w:t xml:space="preserve">, </w:t>
      </w:r>
      <w:r w:rsidR="00201AA2">
        <w:t xml:space="preserve">as </w:t>
      </w:r>
      <w:r w:rsidR="00F16533">
        <w:t>are</w:t>
      </w:r>
      <w:r w:rsidR="00201AA2">
        <w:t xml:space="preserve"> papers pointing to s</w:t>
      </w:r>
      <w:r w:rsidR="00F16533">
        <w:t xml:space="preserve">pikes in </w:t>
      </w:r>
      <w:r w:rsidR="000A3728">
        <w:t xml:space="preserve">SPX </w:t>
      </w:r>
      <w:r w:rsidR="00F16533">
        <w:t>integration during</w:t>
      </w:r>
      <w:r w:rsidR="004B6778">
        <w:t xml:space="preserve"> recessionary periods</w:t>
      </w:r>
      <w:r w:rsidR="00F16533">
        <w:t xml:space="preserve"> (</w:t>
      </w:r>
      <w:proofErr w:type="spellStart"/>
      <w:r w:rsidR="00F16533" w:rsidRPr="00F16533">
        <w:t>Büyüksahin</w:t>
      </w:r>
      <w:proofErr w:type="spellEnd"/>
      <w:r w:rsidR="00F16533">
        <w:t>, Haigh and Robe 2010</w:t>
      </w:r>
      <w:r w:rsidR="0069753D">
        <w:t xml:space="preserve">; </w:t>
      </w:r>
      <w:proofErr w:type="spellStart"/>
      <w:r w:rsidR="0069753D">
        <w:t>Silvennoinen</w:t>
      </w:r>
      <w:proofErr w:type="spellEnd"/>
      <w:r w:rsidR="0069753D">
        <w:t xml:space="preserve"> and Thorpe 2013</w:t>
      </w:r>
      <w:r w:rsidR="00F16533">
        <w:t>).</w:t>
      </w:r>
      <w:r w:rsidR="00B777C9">
        <w:t xml:space="preserve"> Mo</w:t>
      </w:r>
      <w:r w:rsidR="00646B73">
        <w:t>reover</w:t>
      </w:r>
      <w:r w:rsidR="00B777C9">
        <w:t>, the</w:t>
      </w:r>
      <w:r w:rsidR="000F07E5">
        <w:t xml:space="preserve"> time-varying </w:t>
      </w:r>
      <w:r w:rsidR="00B777C9">
        <w:t>commodity-equity systematic risk</w:t>
      </w:r>
      <w:r w:rsidR="00646B73">
        <w:t xml:space="preserve"> observed in risk premia studies</w:t>
      </w:r>
      <w:r w:rsidR="00B777C9">
        <w:t xml:space="preserve"> (</w:t>
      </w:r>
      <w:proofErr w:type="spellStart"/>
      <w:r w:rsidR="00B777C9">
        <w:t>cDaskalaki</w:t>
      </w:r>
      <w:proofErr w:type="spellEnd"/>
      <w:r w:rsidR="00B777C9">
        <w:t xml:space="preserve">; </w:t>
      </w:r>
      <w:proofErr w:type="spellStart"/>
      <w:r w:rsidR="00B777C9" w:rsidRPr="00F26456">
        <w:t>Isleimeyyeh</w:t>
      </w:r>
      <w:proofErr w:type="spellEnd"/>
      <w:r w:rsidR="00B777C9">
        <w:t xml:space="preserve"> forthcoming) is confirmed by our study</w:t>
      </w:r>
      <w:r w:rsidR="00EA1B7E">
        <w:t>, which may now be contextualized within the financialization literature</w:t>
      </w:r>
      <w:r w:rsidR="00646B73">
        <w:t>.</w:t>
      </w:r>
    </w:p>
    <w:p w14:paraId="39B72850" w14:textId="613A79C6" w:rsidR="00CF6537" w:rsidRDefault="00CF6537" w:rsidP="00CF6537">
      <w:pPr>
        <w:pStyle w:val="ListParagraph"/>
        <w:numPr>
          <w:ilvl w:val="0"/>
          <w:numId w:val="9"/>
        </w:numPr>
      </w:pPr>
      <w:r>
        <w:t>Individual Commodities</w:t>
      </w:r>
    </w:p>
    <w:p w14:paraId="433E7571" w14:textId="717C88E2" w:rsidR="00455E30" w:rsidRDefault="004B6778" w:rsidP="00CF6537">
      <w:r w:rsidRPr="004B6778">
        <w:t>Having established that commodity-equity risk-sharing</w:t>
      </w:r>
      <w:r w:rsidR="00446AAE">
        <w:t xml:space="preserve"> </w:t>
      </w:r>
      <w:r w:rsidRPr="004B6778">
        <w:t xml:space="preserve">exists for commodity indices, this paper will further examine whether that has affected the level of equity integration </w:t>
      </w:r>
      <w:r w:rsidR="00446AAE">
        <w:t xml:space="preserve">for </w:t>
      </w:r>
      <w:r w:rsidRPr="004B6778">
        <w:t>individual commodities.</w:t>
      </w:r>
      <w:r>
        <w:t xml:space="preserve"> </w:t>
      </w:r>
      <w:r w:rsidR="007B1F4A">
        <w:t xml:space="preserve">The general idea is that since products </w:t>
      </w:r>
      <w:r w:rsidR="004D6557">
        <w:t>benchmarked against</w:t>
      </w:r>
      <w:r w:rsidR="007B1F4A">
        <w:t xml:space="preserve"> indices of commodity futures will necessitate similar futures positions, index speculation </w:t>
      </w:r>
      <w:r w:rsidR="009E2624">
        <w:t>would</w:t>
      </w:r>
      <w:r w:rsidR="007B1F4A">
        <w:t xml:space="preserve"> </w:t>
      </w:r>
      <w:r w:rsidR="00DE7EB9">
        <w:t>also cause</w:t>
      </w:r>
      <w:r w:rsidR="007B1F4A">
        <w:t xml:space="preserve"> increased</w:t>
      </w:r>
      <w:r w:rsidR="00DE7EB9">
        <w:t xml:space="preserve"> systematic risk</w:t>
      </w:r>
      <w:r w:rsidR="007B1F4A">
        <w:t xml:space="preserve"> integration </w:t>
      </w:r>
      <w:r w:rsidR="00DE7EB9">
        <w:t>in</w:t>
      </w:r>
      <w:r w:rsidR="007B1F4A">
        <w:t xml:space="preserve"> individual commodities (</w:t>
      </w:r>
      <w:r w:rsidR="00DE7EB9">
        <w:t xml:space="preserve">Cheng and </w:t>
      </w:r>
      <w:proofErr w:type="spellStart"/>
      <w:r w:rsidR="00DE7EB9">
        <w:t>Xiong</w:t>
      </w:r>
      <w:proofErr w:type="spellEnd"/>
      <w:r w:rsidR="00DE7EB9">
        <w:t xml:space="preserve"> 2014)</w:t>
      </w:r>
      <w:r w:rsidR="00CF6537">
        <w:t xml:space="preserve">. </w:t>
      </w:r>
      <w:r w:rsidR="00BB2219">
        <w:t>As mentioned in the literature review, p</w:t>
      </w:r>
      <w:r w:rsidR="000F07E5">
        <w:t>ast literature i</w:t>
      </w:r>
      <w:r w:rsidR="00821B21">
        <w:t>s sympathetic to</w:t>
      </w:r>
      <w:r w:rsidR="00EE76CF">
        <w:t xml:space="preserve"> this direction</w:t>
      </w:r>
      <w:r w:rsidR="00BB2219">
        <w:t>:</w:t>
      </w:r>
      <w:r w:rsidR="00E10955">
        <w:t xml:space="preserve"> Tang and </w:t>
      </w:r>
      <w:proofErr w:type="spellStart"/>
      <w:r w:rsidR="00E10955">
        <w:t>Xiong’s</w:t>
      </w:r>
      <w:proofErr w:type="spellEnd"/>
      <w:r w:rsidR="00E10955">
        <w:t xml:space="preserve"> (2012) </w:t>
      </w:r>
      <w:r w:rsidR="00E10955">
        <w:lastRenderedPageBreak/>
        <w:t>empirical study noted a substantially higher average</w:t>
      </w:r>
      <w:r w:rsidR="00EA1B7E">
        <w:t xml:space="preserve"> inter-commodity</w:t>
      </w:r>
      <w:r w:rsidR="00E10955">
        <w:t xml:space="preserve"> correlation between </w:t>
      </w:r>
      <w:r w:rsidR="00D646E4">
        <w:t xml:space="preserve">baskets of </w:t>
      </w:r>
      <w:r w:rsidR="00E10955">
        <w:t xml:space="preserve">indexed commodities than non-indexed, and </w:t>
      </w:r>
      <w:proofErr w:type="spellStart"/>
      <w:r w:rsidR="00E10955" w:rsidRPr="00F26456">
        <w:t>Isleimeyyeh</w:t>
      </w:r>
      <w:r w:rsidR="00E10955">
        <w:t>’s</w:t>
      </w:r>
      <w:proofErr w:type="spellEnd"/>
      <w:r w:rsidR="00E10955">
        <w:t xml:space="preserve"> (forthcoming) futures risk premium study found increased </w:t>
      </w:r>
      <w:r w:rsidR="0012557C">
        <w:t xml:space="preserve">equity </w:t>
      </w:r>
      <w:r w:rsidR="00E10955">
        <w:t>systematic risk coefficient for crude and heating oil.</w:t>
      </w:r>
      <w:r w:rsidR="000B0809">
        <w:t xml:space="preserve"> </w:t>
      </w:r>
    </w:p>
    <w:p w14:paraId="221841C8" w14:textId="64FCD3FC" w:rsidR="00133971" w:rsidRDefault="0093645C" w:rsidP="002A4F4F">
      <w:r>
        <w:t>T</w:t>
      </w:r>
      <w:r w:rsidR="000B0809">
        <w:t xml:space="preserve">his paper’s definition ‘indexed’ refers to commodities included in the </w:t>
      </w:r>
      <w:r w:rsidR="004118A1">
        <w:t>investable</w:t>
      </w:r>
      <w:r w:rsidR="000B0809">
        <w:t xml:space="preserve"> indices</w:t>
      </w:r>
      <w:r w:rsidR="002B08E3">
        <w:t xml:space="preserve"> as opposed to all indices. In our data, it represents </w:t>
      </w:r>
      <w:r>
        <w:t xml:space="preserve">GSCI, DJCI </w:t>
      </w:r>
      <w:r w:rsidR="002B08E3">
        <w:t xml:space="preserve">(for to its history with BCI) </w:t>
      </w:r>
      <w:r>
        <w:t>and BCI</w:t>
      </w:r>
      <w:r w:rsidR="002B08E3">
        <w:t>.</w:t>
      </w:r>
      <w:r w:rsidR="00267D15">
        <w:t xml:space="preserve"> Due to</w:t>
      </w:r>
      <w:r w:rsidR="00556ABD">
        <w:t xml:space="preserve"> the constraint that I was unable to access the historical composition of the various commodity indices, some faith will be required that index composition remained </w:t>
      </w:r>
      <w:r w:rsidR="007D6E34">
        <w:t xml:space="preserve">roughly </w:t>
      </w:r>
      <w:r w:rsidR="00EE76CF">
        <w:t>consistent</w:t>
      </w:r>
      <w:r w:rsidR="00556ABD">
        <w:t>.</w:t>
      </w:r>
      <w:r w:rsidR="002212BD">
        <w:t xml:space="preserve"> By comparing the </w:t>
      </w:r>
      <w:r w:rsidR="007B1F4A">
        <w:t>current composition of the GSCI, DJCI and BCI, as well as data recorded in Anson (2008),</w:t>
      </w:r>
      <w:r w:rsidR="00455E30">
        <w:t xml:space="preserve"> gold, lean hogs, wheat and crude oil (WTI)</w:t>
      </w:r>
      <w:r w:rsidR="0048250D">
        <w:t xml:space="preserve"> are chosen as our sample</w:t>
      </w:r>
      <w:r w:rsidR="00455E30">
        <w:t xml:space="preserve">. Respectively, each of the individual commodities represent the metal, </w:t>
      </w:r>
      <w:r w:rsidR="00547649">
        <w:t>livestock</w:t>
      </w:r>
      <w:r w:rsidR="00455E30">
        <w:t>, agricultural and energy sector</w:t>
      </w:r>
      <w:r w:rsidR="0048250D">
        <w:t>s</w:t>
      </w:r>
      <w:r w:rsidR="00EE76CF">
        <w:t xml:space="preserve"> </w:t>
      </w:r>
      <w:r w:rsidR="0048250D">
        <w:t>shared across</w:t>
      </w:r>
      <w:r w:rsidR="00EE76CF">
        <w:t xml:space="preserve"> the GSCI, DJCI and BCI</w:t>
      </w:r>
      <w:r w:rsidR="00547649">
        <w:t>.</w:t>
      </w:r>
      <w:r w:rsidR="00455E30">
        <w:t xml:space="preserve"> </w:t>
      </w:r>
    </w:p>
    <w:p w14:paraId="252664BD" w14:textId="5D634BDD" w:rsidR="0060782E" w:rsidRDefault="00F200AE" w:rsidP="002A4F4F">
      <w:r>
        <w:t xml:space="preserve">[split view of </w:t>
      </w:r>
      <w:r w:rsidR="00174A82">
        <w:t>betas</w:t>
      </w:r>
      <w:r w:rsidR="00DA4970">
        <w:t xml:space="preserve"> for indexed</w:t>
      </w:r>
      <w:r>
        <w:t>]</w:t>
      </w:r>
    </w:p>
    <w:p w14:paraId="46649AB0" w14:textId="1D621BCD" w:rsidR="00F200AE" w:rsidRDefault="00F200AE" w:rsidP="002A4F4F">
      <w:r>
        <w:t xml:space="preserve">Overall the </w:t>
      </w:r>
      <w:r w:rsidR="000B0809">
        <w:t>$\hat\</w:t>
      </w:r>
      <w:proofErr w:type="spellStart"/>
      <w:r w:rsidR="000B0809">
        <w:t>beta_t</w:t>
      </w:r>
      <w:proofErr w:type="spellEnd"/>
      <w:r w:rsidR="000B0809">
        <w:t xml:space="preserve">$ </w:t>
      </w:r>
      <w:r w:rsidR="00174A82">
        <w:t>values for indexed commodities</w:t>
      </w:r>
      <w:r w:rsidR="0012557C">
        <w:t xml:space="preserve"> in Figure [CITE]</w:t>
      </w:r>
      <w:r w:rsidR="000B0809">
        <w:t xml:space="preserve"> are inconclusive of </w:t>
      </w:r>
      <w:r w:rsidR="00B52746">
        <w:t xml:space="preserve">index </w:t>
      </w:r>
      <w:r w:rsidR="009A2156">
        <w:t>speculation</w:t>
      </w:r>
      <w:r w:rsidR="00B52746">
        <w:t xml:space="preserve"> increasing</w:t>
      </w:r>
      <w:r w:rsidR="009A2156">
        <w:t xml:space="preserve"> equity</w:t>
      </w:r>
      <w:r w:rsidR="0012557C">
        <w:t xml:space="preserve"> </w:t>
      </w:r>
      <w:r w:rsidR="000B0809">
        <w:t>integratio</w:t>
      </w:r>
      <w:r w:rsidR="009A2156">
        <w:t>n</w:t>
      </w:r>
      <w:r w:rsidR="000B0809">
        <w:t xml:space="preserve">, </w:t>
      </w:r>
      <w:r w:rsidR="0012557C">
        <w:t>which is backed up by</w:t>
      </w:r>
      <w:r w:rsidR="00174A82">
        <w:t xml:space="preserve"> the</w:t>
      </w:r>
      <w:r w:rsidR="000B0809">
        <w:t xml:space="preserve"> </w:t>
      </w:r>
      <w:r w:rsidR="00174A82">
        <w:t>$</w:t>
      </w:r>
      <w:proofErr w:type="gramStart"/>
      <w:r w:rsidR="00174A82">
        <w:t>P(</w:t>
      </w:r>
      <w:proofErr w:type="gramEnd"/>
      <w:r w:rsidR="00174A82">
        <w:t>\hat\</w:t>
      </w:r>
      <w:proofErr w:type="spellStart"/>
      <w:r w:rsidR="00174A82">
        <w:t>beta_t</w:t>
      </w:r>
      <w:proofErr w:type="spellEnd"/>
      <w:r w:rsidR="00174A82">
        <w:t xml:space="preserve"> &gt; 0)$ values (Appendix [CITE]). The results indicate that unlike the indices they are a part </w:t>
      </w:r>
      <w:proofErr w:type="gramStart"/>
      <w:r w:rsidR="00174A82">
        <w:t>of,</w:t>
      </w:r>
      <w:proofErr w:type="gramEnd"/>
      <w:r w:rsidR="00174A82">
        <w:t xml:space="preserve"> these commodities exhibit significant variation</w:t>
      </w:r>
      <w:r w:rsidR="009A2156">
        <w:t xml:space="preserve"> in integration</w:t>
      </w:r>
      <w:r w:rsidR="00174A82">
        <w:t xml:space="preserve"> between</w:t>
      </w:r>
      <w:r w:rsidR="009A2156">
        <w:t xml:space="preserve"> each other</w:t>
      </w:r>
      <w:r w:rsidR="00174A82">
        <w:t xml:space="preserve"> and equity markets</w:t>
      </w:r>
      <w:r w:rsidR="00B52746">
        <w:t xml:space="preserve">, which </w:t>
      </w:r>
      <w:r w:rsidR="009A2156">
        <w:t>leaves</w:t>
      </w:r>
      <w:r w:rsidR="00B52746">
        <w:t xml:space="preserve"> index speculation</w:t>
      </w:r>
      <w:r w:rsidR="009A2156">
        <w:t xml:space="preserve"> unlikely as a </w:t>
      </w:r>
      <w:r w:rsidR="00EE76CF">
        <w:t xml:space="preserve">salient </w:t>
      </w:r>
      <w:r w:rsidR="009A2156">
        <w:t>common driver for</w:t>
      </w:r>
      <w:r w:rsidR="007D6E34">
        <w:t xml:space="preserve"> any</w:t>
      </w:r>
      <w:r w:rsidR="009A2156">
        <w:t xml:space="preserve"> integration</w:t>
      </w:r>
      <w:r w:rsidR="007D6E34">
        <w:t xml:space="preserve"> observed</w:t>
      </w:r>
      <w:r w:rsidR="00174A82">
        <w:t xml:space="preserve">. For example, gold exhibits sustained positive integration with </w:t>
      </w:r>
      <w:r w:rsidR="0012557C">
        <w:t xml:space="preserve">the MSCI basket of </w:t>
      </w:r>
      <w:r w:rsidR="00174A82">
        <w:t xml:space="preserve">emerging markets from 2004, while </w:t>
      </w:r>
      <w:r w:rsidR="0012557C">
        <w:t>it fails to do so for developed markets.</w:t>
      </w:r>
      <w:r w:rsidR="00627402">
        <w:t xml:space="preserve"> Interestingly, gold </w:t>
      </w:r>
      <w:r w:rsidR="0002130F">
        <w:t>differs from other commodities in</w:t>
      </w:r>
      <w:r w:rsidR="00627402">
        <w:t xml:space="preserve"> exhibit</w:t>
      </w:r>
      <w:r w:rsidR="0002130F">
        <w:t xml:space="preserve">ing decreased </w:t>
      </w:r>
      <w:r w:rsidR="008F1A86">
        <w:t>equity risk sharing</w:t>
      </w:r>
      <w:r w:rsidR="00627402">
        <w:t xml:space="preserve"> during</w:t>
      </w:r>
      <w:r w:rsidR="0002130F">
        <w:t xml:space="preserve"> most</w:t>
      </w:r>
      <w:r w:rsidR="00627402">
        <w:t xml:space="preserve"> recessionary periods, which </w:t>
      </w:r>
      <w:r w:rsidR="008F1A86">
        <w:t>lends some credence</w:t>
      </w:r>
      <w:r w:rsidR="00627402">
        <w:t xml:space="preserve"> its common perception as a </w:t>
      </w:r>
      <w:r w:rsidR="00627402">
        <w:lastRenderedPageBreak/>
        <w:t>haven asset (</w:t>
      </w:r>
      <w:proofErr w:type="spellStart"/>
      <w:r w:rsidR="009A2156">
        <w:t>cSchroders</w:t>
      </w:r>
      <w:proofErr w:type="spellEnd"/>
      <w:r w:rsidR="009A2156">
        <w:t xml:space="preserve"> 2022).</w:t>
      </w:r>
      <w:r w:rsidR="0012557C">
        <w:t xml:space="preserve"> </w:t>
      </w:r>
      <w:r w:rsidR="00627402">
        <w:t>Wheat appears to have some slight positive relation to world equity markets, while l</w:t>
      </w:r>
      <w:r w:rsidR="0012557C">
        <w:t>ean hogs exhibit no signs of equity risk sharing at all. The onl</w:t>
      </w:r>
      <w:r w:rsidR="00627402">
        <w:t>y</w:t>
      </w:r>
      <w:r w:rsidR="0012557C">
        <w:t xml:space="preserve"> integration akin to that exhibited by indices themselves can be </w:t>
      </w:r>
      <w:r w:rsidR="00627402">
        <w:t>observed in crude oil, which has exhibited a sustained positive trend across all markets.</w:t>
      </w:r>
    </w:p>
    <w:p w14:paraId="0F5AB641" w14:textId="0642D5A7" w:rsidR="00B52746" w:rsidRDefault="009A2156" w:rsidP="002A4F4F">
      <w:r>
        <w:t>[</w:t>
      </w:r>
      <w:r w:rsidR="00DA4970">
        <w:t>split view of betas for non-indexed]</w:t>
      </w:r>
    </w:p>
    <w:p w14:paraId="21D8B32D" w14:textId="6EE965F9" w:rsidR="00627402" w:rsidRDefault="007D6E34" w:rsidP="002A4F4F">
      <w:r>
        <w:t>L</w:t>
      </w:r>
      <w:r w:rsidR="00DA4970">
        <w:t>umber, oats, palladium and rubber</w:t>
      </w:r>
      <w:r w:rsidR="00207BC5">
        <w:t xml:space="preserve"> in Figure [CITE]</w:t>
      </w:r>
      <w:r w:rsidR="00DA4970">
        <w:t xml:space="preserve"> </w:t>
      </w:r>
      <w:r>
        <w:t>represent non-indexed commodities</w:t>
      </w:r>
      <w:r w:rsidR="002B08E3">
        <w:t>. Overall,</w:t>
      </w:r>
      <w:r>
        <w:t xml:space="preserve"> </w:t>
      </w:r>
      <w:r w:rsidR="00DA4970">
        <w:t>the results are similar</w:t>
      </w:r>
      <w:r w:rsidR="00A67296">
        <w:t xml:space="preserve"> to that observed in indexed commodities</w:t>
      </w:r>
      <w:r w:rsidR="00207BC5">
        <w:t xml:space="preserve"> ($</w:t>
      </w:r>
      <w:proofErr w:type="gramStart"/>
      <w:r w:rsidR="00207BC5">
        <w:t>P(</w:t>
      </w:r>
      <w:proofErr w:type="gramEnd"/>
      <w:r w:rsidR="00207BC5">
        <w:t>\hat\</w:t>
      </w:r>
      <w:proofErr w:type="spellStart"/>
      <w:r w:rsidR="00207BC5">
        <w:t>beta_t</w:t>
      </w:r>
      <w:proofErr w:type="spellEnd"/>
      <w:r w:rsidR="00207BC5">
        <w:t xml:space="preserve"> &gt; 0)$ included in Appendix [CITE])</w:t>
      </w:r>
      <w:r w:rsidR="00DA4970">
        <w:t>.</w:t>
      </w:r>
      <w:r w:rsidR="000F07E5">
        <w:t xml:space="preserve"> </w:t>
      </w:r>
      <w:r w:rsidR="00207BC5">
        <w:t xml:space="preserve">Interestingly, palladium </w:t>
      </w:r>
      <w:r w:rsidR="008549A1">
        <w:t xml:space="preserve">appears to have high equity market integration since the 2000s, which may be attributable to its </w:t>
      </w:r>
      <w:r w:rsidR="00821B21">
        <w:t xml:space="preserve">main </w:t>
      </w:r>
      <w:r w:rsidR="00D85621">
        <w:t>usage in catalytic converters as car manufacturers committed to the reduction of pollutants (</w:t>
      </w:r>
      <w:proofErr w:type="spellStart"/>
      <w:r w:rsidR="00D85621">
        <w:t>cPfeiffer</w:t>
      </w:r>
      <w:proofErr w:type="spellEnd"/>
      <w:r w:rsidR="00D85621">
        <w:t xml:space="preserve"> blah blah 2007)</w:t>
      </w:r>
      <w:r w:rsidR="00821B21">
        <w:t>, thereby causing increased economic integration</w:t>
      </w:r>
      <w:r w:rsidR="00D85621">
        <w:t>. Rubber and lumber also exhibited some periods of increasing integration post-2000, while oats peaked at 2008.</w:t>
      </w:r>
    </w:p>
    <w:p w14:paraId="7A161BEF" w14:textId="1ED46383" w:rsidR="00957850" w:rsidRDefault="00821B21" w:rsidP="002A4F4F">
      <w:r>
        <w:t xml:space="preserve">Ultimately, it appears that equity risk sharing for individual commodities is driven </w:t>
      </w:r>
      <w:r w:rsidR="003559D0">
        <w:t xml:space="preserve">more </w:t>
      </w:r>
      <w:r>
        <w:t>by idiosyncratic factors</w:t>
      </w:r>
      <w:r w:rsidR="003559D0">
        <w:t xml:space="preserve"> than</w:t>
      </w:r>
      <w:r w:rsidR="00C87836">
        <w:t xml:space="preserve"> a common cause in</w:t>
      </w:r>
      <w:r w:rsidR="003559D0">
        <w:t xml:space="preserve"> index speculation</w:t>
      </w:r>
      <w:r w:rsidR="004A1526">
        <w:t xml:space="preserve">. </w:t>
      </w:r>
      <w:r w:rsidR="004D6557">
        <w:t>As such,</w:t>
      </w:r>
      <w:r w:rsidR="004A1526">
        <w:t xml:space="preserve"> </w:t>
      </w:r>
      <w:r w:rsidR="004D6557">
        <w:t>integration occurs when</w:t>
      </w:r>
      <w:r>
        <w:t xml:space="preserve"> the specific uses of those commodities </w:t>
      </w:r>
      <w:r w:rsidR="00C87836">
        <w:t xml:space="preserve">themselves </w:t>
      </w:r>
      <w:r w:rsidR="004A1526">
        <w:t>are</w:t>
      </w:r>
      <w:r>
        <w:t xml:space="preserve"> economically integrated. </w:t>
      </w:r>
      <w:r w:rsidR="004A1526">
        <w:t>Within our sample, s</w:t>
      </w:r>
      <w:r>
        <w:t xml:space="preserve">ustained periods of high equity market integration </w:t>
      </w:r>
      <w:r w:rsidR="004A1526">
        <w:t xml:space="preserve">are observed </w:t>
      </w:r>
      <w:r>
        <w:t>fo</w:t>
      </w:r>
      <w:r w:rsidR="004A1526">
        <w:t>r</w:t>
      </w:r>
      <w:r>
        <w:t xml:space="preserve"> oil and palladium, which are both influenced b</w:t>
      </w:r>
      <w:r w:rsidR="003559D0">
        <w:t>y</w:t>
      </w:r>
      <w:r>
        <w:t xml:space="preserve"> the cyclical demand for shipping and transportation. </w:t>
      </w:r>
      <w:r w:rsidR="003559D0">
        <w:t xml:space="preserve">In support of this </w:t>
      </w:r>
      <w:r w:rsidR="00EC0665">
        <w:t>conclusion</w:t>
      </w:r>
      <w:r w:rsidR="004A1526">
        <w:t>, Kilian</w:t>
      </w:r>
      <w:r w:rsidR="003559D0">
        <w:t xml:space="preserve"> and Hicks</w:t>
      </w:r>
      <w:r w:rsidR="004A1526">
        <w:t xml:space="preserve"> </w:t>
      </w:r>
      <w:r w:rsidR="003559D0">
        <w:t xml:space="preserve">(c2012) used an impulse response model to </w:t>
      </w:r>
      <w:r w:rsidR="004A1526">
        <w:t xml:space="preserve">demonstrate that </w:t>
      </w:r>
      <w:r w:rsidR="00E17ABC">
        <w:t xml:space="preserve">positive </w:t>
      </w:r>
      <w:r w:rsidR="004A1526">
        <w:t>surprise</w:t>
      </w:r>
      <w:r w:rsidR="00E17ABC">
        <w:t>s</w:t>
      </w:r>
      <w:r w:rsidR="004A1526">
        <w:t xml:space="preserve"> in </w:t>
      </w:r>
      <w:r w:rsidR="003559D0">
        <w:t xml:space="preserve">forecasted </w:t>
      </w:r>
      <w:r w:rsidR="004A1526">
        <w:t xml:space="preserve">economic growth </w:t>
      </w:r>
      <w:r w:rsidR="00E17ABC">
        <w:t>positively affects</w:t>
      </w:r>
      <w:r w:rsidR="003559D0">
        <w:t xml:space="preserve"> crude oil prices.</w:t>
      </w:r>
      <w:r w:rsidR="004A1526">
        <w:t xml:space="preserve"> Furthermore, Hamilton and Wu (c2015) </w:t>
      </w:r>
      <w:r w:rsidR="00230B37">
        <w:t>observed</w:t>
      </w:r>
      <w:r w:rsidR="004A1526">
        <w:t xml:space="preserve"> that</w:t>
      </w:r>
      <w:r w:rsidR="00230B37">
        <w:t xml:space="preserve"> notional positions of index speculators</w:t>
      </w:r>
      <w:r w:rsidR="004A1526">
        <w:t xml:space="preserve"> </w:t>
      </w:r>
      <w:r w:rsidR="00E17ABC">
        <w:t>cannot forecast</w:t>
      </w:r>
      <w:r w:rsidR="00DD7E53">
        <w:t xml:space="preserve"> price changes for </w:t>
      </w:r>
      <w:r w:rsidR="00E17ABC">
        <w:t>agricultural</w:t>
      </w:r>
      <w:r w:rsidR="00DD7E53">
        <w:t xml:space="preserve"> </w:t>
      </w:r>
      <w:r w:rsidR="00E17ABC">
        <w:t>futures, but has some weak predictive abilities for crude oil</w:t>
      </w:r>
      <w:r w:rsidR="004A1526">
        <w:t>.</w:t>
      </w:r>
    </w:p>
    <w:p w14:paraId="411F3327" w14:textId="1CB049B7" w:rsidR="00E62DD4" w:rsidRDefault="00957850" w:rsidP="000E1289">
      <w:r>
        <w:lastRenderedPageBreak/>
        <w:t>Although Hamilton and Wu (2015) dismissed the index speculation theory of risk sharing based on</w:t>
      </w:r>
      <w:r w:rsidR="002D3377">
        <w:t xml:space="preserve"> its</w:t>
      </w:r>
      <w:r w:rsidR="00E17ABC">
        <w:t xml:space="preserve"> weak </w:t>
      </w:r>
      <w:r>
        <w:t>effect</w:t>
      </w:r>
      <w:r w:rsidR="00E17ABC">
        <w:t xml:space="preserve"> for</w:t>
      </w:r>
      <w:r>
        <w:t xml:space="preserve"> individual commodities, this paper </w:t>
      </w:r>
      <w:r w:rsidR="002C1419">
        <w:t>reiterates the</w:t>
      </w:r>
      <w:r>
        <w:t xml:space="preserve"> </w:t>
      </w:r>
      <w:r w:rsidR="002C1419" w:rsidRPr="0006564A">
        <w:rPr>
          <w:i/>
          <w:iCs/>
        </w:rPr>
        <w:t>sine qua non</w:t>
      </w:r>
      <w:r w:rsidR="002C1419">
        <w:t xml:space="preserve"> of index speculation: that speculators</w:t>
      </w:r>
      <w:r>
        <w:t xml:space="preserve"> </w:t>
      </w:r>
      <w:r w:rsidRPr="00325E71">
        <w:t xml:space="preserve">buy the index </w:t>
      </w:r>
      <w:r w:rsidR="002D3377" w:rsidRPr="00325E71">
        <w:t>not</w:t>
      </w:r>
      <w:r w:rsidRPr="00325E71">
        <w:t xml:space="preserve"> the commodity</w:t>
      </w:r>
      <w:r>
        <w:t>.</w:t>
      </w:r>
      <w:r w:rsidR="002D3377">
        <w:t xml:space="preserve"> </w:t>
      </w:r>
      <w:r w:rsidR="00C87836">
        <w:t>C</w:t>
      </w:r>
      <w:r w:rsidR="002D3377">
        <w:t xml:space="preserve">apital inflow into products benchmarked against an index </w:t>
      </w:r>
      <w:r w:rsidR="00766564">
        <w:t>would almost never</w:t>
      </w:r>
      <w:r w:rsidR="00816D4D">
        <w:t xml:space="preserve"> </w:t>
      </w:r>
      <w:r w:rsidR="00E513E9">
        <w:t>transmit equally</w:t>
      </w:r>
      <w:r w:rsidR="00E17ABC">
        <w:t xml:space="preserve"> or immediately</w:t>
      </w:r>
      <w:r w:rsidR="00E513E9">
        <w:t xml:space="preserve"> to </w:t>
      </w:r>
      <w:r w:rsidR="00816D4D">
        <w:t>all constituents</w:t>
      </w:r>
      <w:r w:rsidR="00E513E9">
        <w:t xml:space="preserve"> due to the weights assigned to each commodity</w:t>
      </w:r>
      <w:r w:rsidR="00E17ABC">
        <w:t xml:space="preserve"> and maturity of futures contracts used</w:t>
      </w:r>
      <w:r w:rsidR="00821404">
        <w:t xml:space="preserve"> (see Section 4.2.1)</w:t>
      </w:r>
      <w:r w:rsidR="00E513E9">
        <w:t xml:space="preserve">. </w:t>
      </w:r>
      <w:r w:rsidR="002C1419">
        <w:t>Given that c</w:t>
      </w:r>
      <w:r w:rsidR="00E513E9">
        <w:t xml:space="preserve">ommodity indices are commonly weighted based on </w:t>
      </w:r>
      <w:r w:rsidR="00A57815">
        <w:t xml:space="preserve">demand/supply related </w:t>
      </w:r>
      <w:r w:rsidR="00E513E9">
        <w:t xml:space="preserve">factors such as recent production or trading volume, </w:t>
      </w:r>
      <w:r w:rsidR="002C1419">
        <w:t>it</w:t>
      </w:r>
      <w:r w:rsidR="00E513E9">
        <w:t xml:space="preserve"> </w:t>
      </w:r>
      <w:r w:rsidR="00E17ABC">
        <w:t>follows</w:t>
      </w:r>
      <w:r w:rsidR="00E513E9">
        <w:t xml:space="preserve"> that</w:t>
      </w:r>
      <w:r w:rsidR="0048250D">
        <w:t xml:space="preserve"> capital</w:t>
      </w:r>
      <w:r w:rsidR="002C1419">
        <w:t xml:space="preserve"> </w:t>
      </w:r>
      <w:r w:rsidR="00E17ABC">
        <w:t>inflows to index-linked products</w:t>
      </w:r>
      <w:r w:rsidR="002C1419">
        <w:t xml:space="preserve"> </w:t>
      </w:r>
      <w:r w:rsidR="0006564A">
        <w:t>are</w:t>
      </w:r>
      <w:r w:rsidR="002C1419">
        <w:t xml:space="preserve"> distributed to individual commodities </w:t>
      </w:r>
      <w:r w:rsidR="00A57815">
        <w:t xml:space="preserve">based on </w:t>
      </w:r>
      <w:r w:rsidR="0048250D">
        <w:t xml:space="preserve">existing </w:t>
      </w:r>
      <w:r w:rsidR="00A57815">
        <w:t>fundamental</w:t>
      </w:r>
      <w:r w:rsidR="0048250D">
        <w:t>s</w:t>
      </w:r>
      <w:r w:rsidR="002C1419">
        <w:t>, which re-enforce</w:t>
      </w:r>
      <w:r w:rsidR="00816D4D">
        <w:t>s</w:t>
      </w:r>
      <w:r w:rsidR="002C1419">
        <w:t xml:space="preserve"> </w:t>
      </w:r>
      <w:r w:rsidR="002B08E3">
        <w:t xml:space="preserve">rather than disrupt </w:t>
      </w:r>
      <w:r w:rsidR="002C1419">
        <w:t xml:space="preserve">existing market </w:t>
      </w:r>
      <w:r w:rsidR="0048250D">
        <w:t>trends</w:t>
      </w:r>
      <w:r w:rsidR="002C1419">
        <w:t xml:space="preserve">. </w:t>
      </w:r>
    </w:p>
    <w:p w14:paraId="3070151D" w14:textId="735428F9" w:rsidR="00267D15" w:rsidRDefault="00816D4D" w:rsidP="000E1289">
      <w:r>
        <w:t>Hence</w:t>
      </w:r>
      <w:r w:rsidR="002C1419">
        <w:t xml:space="preserve">, </w:t>
      </w:r>
      <w:r w:rsidR="00E62DD4">
        <w:t>r</w:t>
      </w:r>
      <w:r w:rsidR="00334E30">
        <w:t xml:space="preserve">ather than cause all indexed commodities to </w:t>
      </w:r>
      <w:r w:rsidR="007A315E">
        <w:t>integrate similarly to the equity market,</w:t>
      </w:r>
      <w:r w:rsidR="00334E30">
        <w:t xml:space="preserve"> index speculation </w:t>
      </w:r>
      <w:r w:rsidR="007A315E">
        <w:t xml:space="preserve">likely </w:t>
      </w:r>
      <w:r w:rsidR="00230B37">
        <w:t>amplifies existing</w:t>
      </w:r>
      <w:r w:rsidR="00334E30">
        <w:t xml:space="preserve"> momentum for individual commodities</w:t>
      </w:r>
      <w:r w:rsidR="009A7DDE">
        <w:t xml:space="preserve">. </w:t>
      </w:r>
      <w:r w:rsidR="00C87836">
        <w:t>A</w:t>
      </w:r>
      <w:r w:rsidR="009A7DDE">
        <w:t>lthough individual effects</w:t>
      </w:r>
      <w:r w:rsidR="00C87836">
        <w:t xml:space="preserve"> of increased momentum are</w:t>
      </w:r>
      <w:r w:rsidR="009A7DDE">
        <w:t xml:space="preserve"> barely noticeable</w:t>
      </w:r>
      <w:r w:rsidR="00C87836">
        <w:t xml:space="preserve"> in our test</w:t>
      </w:r>
      <w:r w:rsidR="009A7DDE">
        <w:t>, i</w:t>
      </w:r>
      <w:r w:rsidR="0048250D">
        <w:t>ndex speculation likely</w:t>
      </w:r>
      <w:r w:rsidR="00902CB6">
        <w:t xml:space="preserve"> </w:t>
      </w:r>
      <w:r w:rsidR="006E4C0E">
        <w:t xml:space="preserve">culminates in </w:t>
      </w:r>
      <w:r w:rsidR="004765B0">
        <w:t>expediting</w:t>
      </w:r>
      <w:r w:rsidR="009A7DDE">
        <w:t xml:space="preserve"> </w:t>
      </w:r>
      <w:r w:rsidR="00334E30">
        <w:t xml:space="preserve">risk sharing </w:t>
      </w:r>
      <w:r w:rsidR="00E62DD4">
        <w:t>at the index level</w:t>
      </w:r>
      <w:r w:rsidR="00334E30">
        <w:t xml:space="preserve"> </w:t>
      </w:r>
      <w:r w:rsidR="00E62DD4">
        <w:t>from</w:t>
      </w:r>
      <w:r w:rsidR="00334E30">
        <w:t xml:space="preserve"> the </w:t>
      </w:r>
      <w:r w:rsidR="009A7DDE">
        <w:t xml:space="preserve">amplification of </w:t>
      </w:r>
      <w:r w:rsidR="00902CB6">
        <w:t>price mo</w:t>
      </w:r>
      <w:r w:rsidR="006E4C0E">
        <w:t>mentum</w:t>
      </w:r>
      <w:r w:rsidR="00325E71">
        <w:t xml:space="preserve"> – b</w:t>
      </w:r>
      <w:r w:rsidR="00A254FF">
        <w:t xml:space="preserve">ut that is not to say </w:t>
      </w:r>
      <w:r w:rsidR="00D049D3">
        <w:t>equity integration is dependent on index speculation</w:t>
      </w:r>
      <w:r w:rsidR="00334E30">
        <w:t xml:space="preserve">. </w:t>
      </w:r>
      <w:r w:rsidR="009A7DDE">
        <w:t>This idea is reflected in Figure [CITE], where CRBI is slower to increase in equity integration</w:t>
      </w:r>
      <w:r w:rsidR="00A254FF">
        <w:t>,</w:t>
      </w:r>
      <w:r w:rsidR="009A7DDE">
        <w:t xml:space="preserve"> but reaches the same level as the </w:t>
      </w:r>
      <w:r w:rsidR="004118A1">
        <w:t>investable</w:t>
      </w:r>
      <w:r w:rsidR="009A7DDE">
        <w:t xml:space="preserve"> indices</w:t>
      </w:r>
      <w:r w:rsidR="00D049D3">
        <w:t>.</w:t>
      </w:r>
      <w:r w:rsidR="009A7DDE">
        <w:t xml:space="preserve"> </w:t>
      </w:r>
      <w:r w:rsidR="004765B0">
        <w:t>Furthermore, A</w:t>
      </w:r>
      <w:r w:rsidR="009A7DDE">
        <w:t>ppendix [CITE] demonstrates that</w:t>
      </w:r>
      <w:r w:rsidR="00902CB6">
        <w:t xml:space="preserve"> monthly volatility </w:t>
      </w:r>
      <w:r w:rsidR="000D03ED">
        <w:t>of</w:t>
      </w:r>
      <w:r w:rsidR="00902CB6">
        <w:t xml:space="preserve"> </w:t>
      </w:r>
      <w:r w:rsidR="004118A1">
        <w:t>investable</w:t>
      </w:r>
      <w:r w:rsidR="00902CB6">
        <w:t xml:space="preserve"> indices </w:t>
      </w:r>
      <w:r w:rsidR="000D03ED">
        <w:t xml:space="preserve">consistently increases more </w:t>
      </w:r>
      <w:r w:rsidR="00902CB6">
        <w:t>than</w:t>
      </w:r>
      <w:r w:rsidR="009A7DDE">
        <w:t xml:space="preserve"> the non-</w:t>
      </w:r>
      <w:r w:rsidR="004118A1">
        <w:t>investable</w:t>
      </w:r>
      <w:r w:rsidR="009A7DDE">
        <w:t xml:space="preserve"> CRBI</w:t>
      </w:r>
      <w:r w:rsidR="00902CB6">
        <w:t xml:space="preserve">, giving credence to the amplification </w:t>
      </w:r>
      <w:r w:rsidR="00A254FF">
        <w:t>theory</w:t>
      </w:r>
      <w:r w:rsidR="00902CB6">
        <w:t>.</w:t>
      </w:r>
      <w:r w:rsidR="000D03ED">
        <w:t xml:space="preserve"> Given the physical nature of commodities, fundamental changes to the underlying assets themselves would also not occur upon indexing, unlike changes in corporate practices when a stock is incorporated into equity indices (</w:t>
      </w:r>
      <w:proofErr w:type="spellStart"/>
      <w:r w:rsidR="000D03ED">
        <w:t>cBennet</w:t>
      </w:r>
      <w:proofErr w:type="spellEnd"/>
      <w:r w:rsidR="000D03ED">
        <w:t xml:space="preserve">, </w:t>
      </w:r>
      <w:proofErr w:type="spellStart"/>
      <w:r w:rsidR="000D03ED">
        <w:t>Stulz</w:t>
      </w:r>
      <w:proofErr w:type="spellEnd"/>
      <w:r w:rsidR="000D03ED">
        <w:t xml:space="preserve"> and Wang 2021).</w:t>
      </w:r>
    </w:p>
    <w:p w14:paraId="2381540C" w14:textId="39992EB7" w:rsidR="000E1289" w:rsidRDefault="006E4C0E" w:rsidP="000E1289">
      <w:r>
        <w:lastRenderedPageBreak/>
        <w:t>Nevertheless</w:t>
      </w:r>
      <w:r w:rsidR="000E1289">
        <w:t xml:space="preserve">, there is insufficient scope </w:t>
      </w:r>
      <w:r w:rsidR="0099149B">
        <w:t>for</w:t>
      </w:r>
      <w:r w:rsidR="000E1289">
        <w:t xml:space="preserve"> this paper to </w:t>
      </w:r>
      <w:r>
        <w:t>conclusively study</w:t>
      </w:r>
      <w:r w:rsidR="000E1289">
        <w:t xml:space="preserve"> </w:t>
      </w:r>
      <w:r w:rsidR="00267D15">
        <w:t>this</w:t>
      </w:r>
      <w:r w:rsidR="000E1289">
        <w:t xml:space="preserve"> theory </w:t>
      </w:r>
      <w:r w:rsidR="00266BEE">
        <w:t>o</w:t>
      </w:r>
      <w:r w:rsidR="00902CB6">
        <w:t>f</w:t>
      </w:r>
      <w:r w:rsidR="00266BEE">
        <w:t xml:space="preserve"> capital transmission between ind</w:t>
      </w:r>
      <w:r w:rsidR="007A315E">
        <w:t>ices</w:t>
      </w:r>
      <w:r w:rsidR="00266BEE">
        <w:t xml:space="preserve"> and underlying commodities, which will make for interesting fu</w:t>
      </w:r>
      <w:r w:rsidR="003A09FB">
        <w:t>ture</w:t>
      </w:r>
      <w:r w:rsidR="00266BEE">
        <w:t xml:space="preserve"> research</w:t>
      </w:r>
      <w:r w:rsidR="00BB0698">
        <w:t>.</w:t>
      </w:r>
      <w:r w:rsidR="00267D15">
        <w:t xml:space="preserve"> </w:t>
      </w:r>
      <w:r>
        <w:t>This study can only conclude that index speculation has little effect on systematic risk sharing between individual commodities and equity indices.</w:t>
      </w:r>
    </w:p>
    <w:p w14:paraId="745983AE" w14:textId="7AB0DA7A" w:rsidR="000E1289" w:rsidRDefault="00072D71" w:rsidP="00072D71">
      <w:pPr>
        <w:pStyle w:val="ListParagraph"/>
        <w:numPr>
          <w:ilvl w:val="0"/>
          <w:numId w:val="3"/>
        </w:numPr>
      </w:pPr>
      <w:r>
        <w:t>Conclusion</w:t>
      </w:r>
    </w:p>
    <w:p w14:paraId="5A8985FF" w14:textId="21A1FC63" w:rsidR="004F5201" w:rsidRDefault="00325E71" w:rsidP="00072D71">
      <w:r>
        <w:t xml:space="preserve">The systematic risk relationship between commodities and the equity market has fundamentally changed over the last few decades, </w:t>
      </w:r>
      <w:r w:rsidR="004F5201">
        <w:t>wh</w:t>
      </w:r>
      <w:r w:rsidR="00966832">
        <w:t>ich was</w:t>
      </w:r>
      <w:r>
        <w:t xml:space="preserve"> </w:t>
      </w:r>
      <w:r w:rsidR="00095D04">
        <w:t>hinted</w:t>
      </w:r>
      <w:r>
        <w:t xml:space="preserve"> </w:t>
      </w:r>
      <w:r w:rsidR="004F5201">
        <w:t>as part of</w:t>
      </w:r>
      <w:r w:rsidR="00966832">
        <w:t xml:space="preserve"> studies on</w:t>
      </w:r>
      <w:r w:rsidR="004F5201">
        <w:t xml:space="preserve"> commodity risk premia</w:t>
      </w:r>
      <w:r>
        <w:t xml:space="preserve"> </w:t>
      </w:r>
      <w:r w:rsidR="004F5201">
        <w:t>(</w:t>
      </w:r>
      <w:proofErr w:type="spellStart"/>
      <w:r w:rsidR="00095D04">
        <w:t>cDaskalaki</w:t>
      </w:r>
      <w:proofErr w:type="spellEnd"/>
      <w:r w:rsidR="00095D04">
        <w:t xml:space="preserve">, </w:t>
      </w:r>
      <w:proofErr w:type="spellStart"/>
      <w:r w:rsidR="00095D04">
        <w:t>cBaumeister</w:t>
      </w:r>
      <w:proofErr w:type="spellEnd"/>
      <w:r w:rsidR="00095D04">
        <w:t xml:space="preserve"> and Kilian and </w:t>
      </w:r>
      <w:proofErr w:type="spellStart"/>
      <w:r w:rsidR="00095D04">
        <w:t>cIsleimeyyeh</w:t>
      </w:r>
      <w:proofErr w:type="spellEnd"/>
      <w:r w:rsidR="004F5201">
        <w:t>)</w:t>
      </w:r>
      <w:r w:rsidR="00095D04">
        <w:t>.</w:t>
      </w:r>
      <w:r>
        <w:t xml:space="preserve"> </w:t>
      </w:r>
      <w:r w:rsidR="00135E37">
        <w:t>Contextualizing t</w:t>
      </w:r>
      <w:r w:rsidR="00966832">
        <w:t>ime-varying systematic risk</w:t>
      </w:r>
      <w:r w:rsidR="00135E37">
        <w:t xml:space="preserve"> as an effect</w:t>
      </w:r>
      <w:r w:rsidR="00966832">
        <w:t xml:space="preserve"> </w:t>
      </w:r>
      <w:r w:rsidR="00135E37">
        <w:t>financialization, this paper</w:t>
      </w:r>
      <w:r w:rsidR="004F5201">
        <w:t xml:space="preserve"> </w:t>
      </w:r>
      <w:r w:rsidR="00135E37">
        <w:t>seeks t</w:t>
      </w:r>
      <w:r w:rsidR="00966832">
        <w:t xml:space="preserve">o test the strength and direction of </w:t>
      </w:r>
      <w:r w:rsidR="00233572">
        <w:t>changes</w:t>
      </w:r>
      <w:r w:rsidR="00966832">
        <w:t xml:space="preserve"> in systematic risk, and whether it is impacted by index speculation</w:t>
      </w:r>
      <w:r w:rsidR="00135E37">
        <w:t xml:space="preserve">. </w:t>
      </w:r>
      <w:r w:rsidR="00966832">
        <w:t>R</w:t>
      </w:r>
      <w:r w:rsidR="00072D71">
        <w:t>isk</w:t>
      </w:r>
      <w:r w:rsidR="00F5305A">
        <w:t xml:space="preserve"> integration</w:t>
      </w:r>
      <w:r w:rsidR="00072D71">
        <w:t xml:space="preserve"> between commodities and equities</w:t>
      </w:r>
      <w:r w:rsidR="00135E37">
        <w:t xml:space="preserve"> was directly tested</w:t>
      </w:r>
      <w:r w:rsidR="00095D04">
        <w:t xml:space="preserve"> using a simpl</w:t>
      </w:r>
      <w:r w:rsidR="00966832">
        <w:t>e</w:t>
      </w:r>
      <w:r w:rsidR="00095D04">
        <w:t xml:space="preserve"> linear model, </w:t>
      </w:r>
      <w:r w:rsidR="00135E37">
        <w:t>then</w:t>
      </w:r>
      <w:r w:rsidR="00095D04">
        <w:t xml:space="preserve"> Kalman filtering</w:t>
      </w:r>
      <w:r w:rsidR="00135E37">
        <w:t xml:space="preserve"> was employed</w:t>
      </w:r>
      <w:r w:rsidR="00095D04">
        <w:t xml:space="preserve"> to extract time-varying $\beta$ coefficients</w:t>
      </w:r>
      <w:r w:rsidR="00FC637C">
        <w:t>.</w:t>
      </w:r>
      <w:r w:rsidR="007A6FBB">
        <w:t xml:space="preserve"> Kalman filter</w:t>
      </w:r>
      <w:r w:rsidR="0006564A">
        <w:t xml:space="preserve">s were </w:t>
      </w:r>
      <w:r w:rsidR="00966832">
        <w:t>not previously used</w:t>
      </w:r>
      <w:r w:rsidR="006D56E3">
        <w:t xml:space="preserve"> </w:t>
      </w:r>
      <w:r w:rsidR="0006564A">
        <w:t>by literature to</w:t>
      </w:r>
      <w:r w:rsidR="006D56E3">
        <w:t xml:space="preserve"> assess commodity market risk sharing,</w:t>
      </w:r>
      <w:r w:rsidR="007A6FBB">
        <w:t xml:space="preserve"> which</w:t>
      </w:r>
      <w:r w:rsidR="006D56E3">
        <w:t xml:space="preserve"> </w:t>
      </w:r>
      <w:r w:rsidR="0006564A">
        <w:t xml:space="preserve">forms the main contribution of this paper in providing new statistical evidence directly from a </w:t>
      </w:r>
      <w:r w:rsidR="000D03ED">
        <w:t>systematic risk</w:t>
      </w:r>
      <w:r w:rsidR="0006564A">
        <w:t xml:space="preserve"> perspective</w:t>
      </w:r>
      <w:r w:rsidR="006D56E3">
        <w:t xml:space="preserve">. </w:t>
      </w:r>
      <w:r w:rsidR="00FC637C">
        <w:t>Using monthly price data</w:t>
      </w:r>
      <w:r w:rsidR="00095D04">
        <w:t xml:space="preserve"> from 1986 to 2021</w:t>
      </w:r>
      <w:r w:rsidR="00FC637C">
        <w:t xml:space="preserve">, commodity-equity </w:t>
      </w:r>
      <w:r w:rsidR="00F5305A">
        <w:t>integration</w:t>
      </w:r>
      <w:r w:rsidR="00FC637C">
        <w:t xml:space="preserve"> was found to have</w:t>
      </w:r>
      <w:r w:rsidR="00F5305A">
        <w:t xml:space="preserve"> </w:t>
      </w:r>
      <w:r w:rsidR="007A6FBB">
        <w:t>increased</w:t>
      </w:r>
      <w:r w:rsidR="009E5F5A">
        <w:t xml:space="preserve"> secularly</w:t>
      </w:r>
      <w:r w:rsidR="00F5305A">
        <w:t xml:space="preserve"> for commodity indices, consistent with </w:t>
      </w:r>
      <w:r w:rsidR="00966832">
        <w:t>the results of prior correlation studies</w:t>
      </w:r>
      <w:r w:rsidR="00F5305A">
        <w:t xml:space="preserve">. However, </w:t>
      </w:r>
      <w:r w:rsidR="00966832">
        <w:t xml:space="preserve">equity market </w:t>
      </w:r>
      <w:r w:rsidR="00F5305A">
        <w:t xml:space="preserve">integration </w:t>
      </w:r>
      <w:r w:rsidR="00FC637C">
        <w:t>remain</w:t>
      </w:r>
      <w:r w:rsidR="00F5305A">
        <w:t>s</w:t>
      </w:r>
      <w:r w:rsidR="00FC637C">
        <w:t xml:space="preserve"> idiosyncratic across individual commoditie</w:t>
      </w:r>
      <w:r w:rsidR="00F5305A">
        <w:t>s, which invites further research into capital transmission from index-linked products to individual commodities.</w:t>
      </w:r>
    </w:p>
    <w:p w14:paraId="04ED2324" w14:textId="17933C85" w:rsidR="006D56E3" w:rsidRDefault="006D56E3" w:rsidP="00072D71">
      <w:r>
        <w:t>[69</w:t>
      </w:r>
      <w:r w:rsidR="005D63BE">
        <w:t>88</w:t>
      </w:r>
      <w:r>
        <w:t xml:space="preserve"> words]</w:t>
      </w:r>
    </w:p>
    <w:p w14:paraId="71B23B2B" w14:textId="696B5F4C" w:rsidR="000E1289" w:rsidRDefault="000E1289" w:rsidP="002A4F4F">
      <w:r>
        <w:t>[put in appendix</w:t>
      </w:r>
      <w:r w:rsidR="00682339">
        <w:t xml:space="preserve"> (251 words)</w:t>
      </w:r>
      <w:r>
        <w:t>]</w:t>
      </w:r>
    </w:p>
    <w:p w14:paraId="5A14DA86" w14:textId="20B56839" w:rsidR="00540620" w:rsidRDefault="00DD7E53" w:rsidP="002A4F4F">
      <w:r>
        <w:lastRenderedPageBreak/>
        <w:t>Due to the time constraints of this study,</w:t>
      </w:r>
      <w:r w:rsidR="00AA1A6A">
        <w:t xml:space="preserve"> commodity indices BCI and CRBI shall be used to proxy indexed and non-indexed baskets.</w:t>
      </w:r>
      <w:r w:rsidR="00503DB7">
        <w:t xml:space="preserve"> </w:t>
      </w:r>
      <w:r w:rsidR="00AA1A6A">
        <w:t xml:space="preserve">BCI is chosen to represent indexed commodities due to its </w:t>
      </w:r>
      <w:r w:rsidR="0034743D">
        <w:t xml:space="preserve">15% </w:t>
      </w:r>
      <w:r w:rsidR="00AA1A6A">
        <w:t xml:space="preserve">weight-cap to prevent price-distortion from one commodity, and </w:t>
      </w:r>
      <w:r w:rsidR="00982D80">
        <w:t>CRBI is equal-weighted as detailed in section 4.2</w:t>
      </w:r>
      <w:r w:rsidR="00821404">
        <w:t>.1</w:t>
      </w:r>
      <w:r w:rsidR="00982D80">
        <w:t>.</w:t>
      </w:r>
      <w:r w:rsidR="00540620">
        <w:t xml:space="preserve"> I calculate dynamic standard deviation using a rolling window, then subtract the series for CRBI from the values for BCI. The formal notation for this may be found</w:t>
      </w:r>
      <w:r w:rsidR="000E1289">
        <w:t xml:space="preserve"> below:</w:t>
      </w:r>
    </w:p>
    <w:p w14:paraId="3A27D904" w14:textId="26B1ACE8" w:rsidR="000E1289" w:rsidRDefault="00266BEE" w:rsidP="002A4F4F">
      <w:r>
        <w:t>[equation]</w:t>
      </w:r>
    </w:p>
    <w:p w14:paraId="09430D29" w14:textId="29B505ED" w:rsidR="00266BEE" w:rsidRDefault="00266BEE" w:rsidP="002A4F4F">
      <w:r>
        <w:t>where….</w:t>
      </w:r>
    </w:p>
    <w:p w14:paraId="23B7EE4E" w14:textId="7BD6B258" w:rsidR="00230B37" w:rsidRDefault="00230B37" w:rsidP="002A4F4F">
      <w:r>
        <w:t>[BCI CRBI vol comp final]</w:t>
      </w:r>
    </w:p>
    <w:p w14:paraId="1AAD4E9B" w14:textId="1F43B799" w:rsidR="00A57815" w:rsidRDefault="0093352C" w:rsidP="002A4F4F">
      <w:r>
        <w:t>F</w:t>
      </w:r>
      <w:r w:rsidR="00503DB7">
        <w:t xml:space="preserve">igure [CITE] </w:t>
      </w:r>
      <w:r w:rsidR="00076F83">
        <w:t xml:space="preserve">plots the results calculated using windows </w:t>
      </w:r>
      <w:r w:rsidR="00503DB7">
        <w:t>of 6, 9, 12 and 15 yea</w:t>
      </w:r>
      <w:r w:rsidR="00076F83">
        <w:t xml:space="preserve">rs </w:t>
      </w:r>
      <w:r w:rsidR="00503DB7">
        <w:t xml:space="preserve">for robustness. From the </w:t>
      </w:r>
      <w:r w:rsidR="00076F83">
        <w:t>Figure [CITE]</w:t>
      </w:r>
      <w:r w:rsidR="00503DB7">
        <w:t>, it appears that</w:t>
      </w:r>
      <w:r w:rsidR="00CA4D7C">
        <w:t xml:space="preserve"> </w:t>
      </w:r>
      <w:r w:rsidR="00503DB7">
        <w:t xml:space="preserve">indexed commodities have grown more volatile </w:t>
      </w:r>
      <w:r>
        <w:t>relative to non-indexed commodities</w:t>
      </w:r>
      <w:r w:rsidR="00CC1659">
        <w:t xml:space="preserve">, which </w:t>
      </w:r>
      <w:r w:rsidR="00076F83">
        <w:t xml:space="preserve">does not appear </w:t>
      </w:r>
      <w:r w:rsidR="00793759">
        <w:t>upon</w:t>
      </w:r>
      <w:r w:rsidR="00076F83">
        <w:t xml:space="preserve"> first glance at</w:t>
      </w:r>
      <w:r w:rsidR="00CC1659">
        <w:t xml:space="preserve"> Figure [CITE]</w:t>
      </w:r>
      <w:r w:rsidR="00793759">
        <w:t xml:space="preserve"> (GSCI increase in volatility is more obvious given its lack of diversified weighting)</w:t>
      </w:r>
      <w:r w:rsidR="00CC1659">
        <w:t>.</w:t>
      </w:r>
      <w:r w:rsidR="004B5DE7">
        <w:t xml:space="preserve"> </w:t>
      </w:r>
      <w:r>
        <w:t xml:space="preserve">Given that both </w:t>
      </w:r>
      <w:r w:rsidR="00793759">
        <w:t>BCI and CRBI</w:t>
      </w:r>
      <w:r>
        <w:t xml:space="preserve"> exhibited s</w:t>
      </w:r>
      <w:r w:rsidR="0034743D">
        <w:t>imilar</w:t>
      </w:r>
      <w:r>
        <w:t xml:space="preserve"> levels of equity market integration in Figure [CITE], </w:t>
      </w:r>
      <w:r w:rsidR="0034743D">
        <w:t xml:space="preserve">and the aforementioned weight cap in BCI and equal-weighting of CRBI, </w:t>
      </w:r>
      <w:r w:rsidR="003B5EA2">
        <w:t xml:space="preserve">there is no reason why </w:t>
      </w:r>
      <w:r w:rsidR="0034743D">
        <w:t>we might expect to see a persistent increase in BCI volatility relative to CRBI</w:t>
      </w:r>
      <w:r w:rsidR="00001FCC">
        <w:t xml:space="preserve"> – other than persisten</w:t>
      </w:r>
      <w:r w:rsidR="00CE6247">
        <w:t>t</w:t>
      </w:r>
      <w:r w:rsidR="00001FCC">
        <w:t xml:space="preserve"> </w:t>
      </w:r>
      <w:r w:rsidR="004957A1">
        <w:t>increase in</w:t>
      </w:r>
      <w:r w:rsidR="00001FCC">
        <w:t xml:space="preserve"> levels of speculation in BCI than CRBI.</w:t>
      </w:r>
    </w:p>
    <w:p w14:paraId="18660DD6" w14:textId="550AFDCA" w:rsidR="00001FCC" w:rsidRDefault="00F7681B" w:rsidP="002A4F4F">
      <w:r>
        <w:t xml:space="preserve">Nevertheless, the conclusion above relies again on CRBI being a reliable proxy for low index speculation, which </w:t>
      </w:r>
      <w:r w:rsidR="00CA0EB9" w:rsidRPr="00364270">
        <w:rPr>
          <w:color w:val="FF0000"/>
        </w:rPr>
        <w:t xml:space="preserve">[get volume data from </w:t>
      </w:r>
      <w:proofErr w:type="spellStart"/>
      <w:r w:rsidR="00CA0EB9" w:rsidRPr="00364270">
        <w:rPr>
          <w:color w:val="FF0000"/>
        </w:rPr>
        <w:t>bberg</w:t>
      </w:r>
      <w:proofErr w:type="spellEnd"/>
      <w:r w:rsidR="00CA0EB9" w:rsidRPr="00364270">
        <w:rPr>
          <w:color w:val="FF0000"/>
        </w:rPr>
        <w:t xml:space="preserve"> for popular indices, leave CRBI off as ‘too niche’, find better explanation for CRBI reaching same level of integration (maybe because tied to economic activity?)]</w:t>
      </w:r>
    </w:p>
    <w:p w14:paraId="493779D6" w14:textId="23BE1542" w:rsidR="00E10955" w:rsidRDefault="00E10955" w:rsidP="002A4F4F">
      <w:r>
        <w:lastRenderedPageBreak/>
        <w:t>[</w:t>
      </w:r>
      <w:r w:rsidR="0098283B">
        <w:t xml:space="preserve">then </w:t>
      </w:r>
      <w:r>
        <w:t xml:space="preserve">explain that other factors like economic news shocks more </w:t>
      </w:r>
      <w:proofErr w:type="spellStart"/>
      <w:r>
        <w:t>contributaory</w:t>
      </w:r>
      <w:proofErr w:type="spellEnd"/>
      <w:r>
        <w:t>, Kilian</w:t>
      </w:r>
      <w:r w:rsidR="0098283B">
        <w:t xml:space="preserve"> oil analysis</w:t>
      </w:r>
      <w:r>
        <w:t>]</w:t>
      </w:r>
    </w:p>
    <w:sectPr w:rsidR="00E10955"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16D22"/>
    <w:multiLevelType w:val="hybridMultilevel"/>
    <w:tmpl w:val="FA0E8882"/>
    <w:lvl w:ilvl="0" w:tplc="F48C236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01EAA"/>
    <w:multiLevelType w:val="hybridMultilevel"/>
    <w:tmpl w:val="B4DE2BEA"/>
    <w:lvl w:ilvl="0" w:tplc="AC34D8F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9"/>
  </w:num>
  <w:num w:numId="2" w16cid:durableId="1321348884">
    <w:abstractNumId w:val="6"/>
  </w:num>
  <w:num w:numId="3" w16cid:durableId="1499615853">
    <w:abstractNumId w:val="7"/>
  </w:num>
  <w:num w:numId="4" w16cid:durableId="1566601996">
    <w:abstractNumId w:val="3"/>
  </w:num>
  <w:num w:numId="5" w16cid:durableId="502164235">
    <w:abstractNumId w:val="5"/>
  </w:num>
  <w:num w:numId="6" w16cid:durableId="1088380554">
    <w:abstractNumId w:val="2"/>
  </w:num>
  <w:num w:numId="7" w16cid:durableId="1387293039">
    <w:abstractNumId w:val="0"/>
  </w:num>
  <w:num w:numId="8" w16cid:durableId="1484588250">
    <w:abstractNumId w:val="8"/>
  </w:num>
  <w:num w:numId="9" w16cid:durableId="2074114211">
    <w:abstractNumId w:val="4"/>
  </w:num>
  <w:num w:numId="10" w16cid:durableId="152733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1FCC"/>
    <w:rsid w:val="000030DD"/>
    <w:rsid w:val="00006B77"/>
    <w:rsid w:val="000108FE"/>
    <w:rsid w:val="00017917"/>
    <w:rsid w:val="0002130F"/>
    <w:rsid w:val="00021B0F"/>
    <w:rsid w:val="0002450A"/>
    <w:rsid w:val="0002755D"/>
    <w:rsid w:val="00035846"/>
    <w:rsid w:val="0003695C"/>
    <w:rsid w:val="0003799C"/>
    <w:rsid w:val="00046185"/>
    <w:rsid w:val="00052739"/>
    <w:rsid w:val="00055868"/>
    <w:rsid w:val="00057BC5"/>
    <w:rsid w:val="00060EB2"/>
    <w:rsid w:val="0006564A"/>
    <w:rsid w:val="00072D71"/>
    <w:rsid w:val="00076F83"/>
    <w:rsid w:val="00083E04"/>
    <w:rsid w:val="00086426"/>
    <w:rsid w:val="00086D4C"/>
    <w:rsid w:val="00087FE2"/>
    <w:rsid w:val="0009055F"/>
    <w:rsid w:val="00092958"/>
    <w:rsid w:val="00092CAE"/>
    <w:rsid w:val="00092E5D"/>
    <w:rsid w:val="00094AFB"/>
    <w:rsid w:val="00095D04"/>
    <w:rsid w:val="000A3728"/>
    <w:rsid w:val="000A5162"/>
    <w:rsid w:val="000A7BE1"/>
    <w:rsid w:val="000B0809"/>
    <w:rsid w:val="000C2815"/>
    <w:rsid w:val="000C6058"/>
    <w:rsid w:val="000C7243"/>
    <w:rsid w:val="000D03ED"/>
    <w:rsid w:val="000D5543"/>
    <w:rsid w:val="000E0ADB"/>
    <w:rsid w:val="000E1289"/>
    <w:rsid w:val="000E1F4C"/>
    <w:rsid w:val="000E64D9"/>
    <w:rsid w:val="000E6956"/>
    <w:rsid w:val="000F07E5"/>
    <w:rsid w:val="000F621C"/>
    <w:rsid w:val="00101DB5"/>
    <w:rsid w:val="0010281E"/>
    <w:rsid w:val="0010435A"/>
    <w:rsid w:val="001067EA"/>
    <w:rsid w:val="001106FA"/>
    <w:rsid w:val="00111B23"/>
    <w:rsid w:val="001120C4"/>
    <w:rsid w:val="001136C0"/>
    <w:rsid w:val="0012365F"/>
    <w:rsid w:val="0012382B"/>
    <w:rsid w:val="00124BB3"/>
    <w:rsid w:val="0012557C"/>
    <w:rsid w:val="00133971"/>
    <w:rsid w:val="00135E37"/>
    <w:rsid w:val="00157FEB"/>
    <w:rsid w:val="00160EAB"/>
    <w:rsid w:val="0016160E"/>
    <w:rsid w:val="001649FA"/>
    <w:rsid w:val="00170950"/>
    <w:rsid w:val="00173C94"/>
    <w:rsid w:val="00173CAD"/>
    <w:rsid w:val="00173E78"/>
    <w:rsid w:val="00174178"/>
    <w:rsid w:val="001749ED"/>
    <w:rsid w:val="00174A82"/>
    <w:rsid w:val="00174D25"/>
    <w:rsid w:val="00175BA8"/>
    <w:rsid w:val="001766B2"/>
    <w:rsid w:val="00176AFC"/>
    <w:rsid w:val="00177A94"/>
    <w:rsid w:val="001834A4"/>
    <w:rsid w:val="00184EA5"/>
    <w:rsid w:val="001855C9"/>
    <w:rsid w:val="00193CE9"/>
    <w:rsid w:val="001941F6"/>
    <w:rsid w:val="00194A77"/>
    <w:rsid w:val="001A098F"/>
    <w:rsid w:val="001A1EF0"/>
    <w:rsid w:val="001A5617"/>
    <w:rsid w:val="001A765E"/>
    <w:rsid w:val="001B6624"/>
    <w:rsid w:val="001D433E"/>
    <w:rsid w:val="001E0247"/>
    <w:rsid w:val="001E3281"/>
    <w:rsid w:val="001F136F"/>
    <w:rsid w:val="00201AA2"/>
    <w:rsid w:val="0020401A"/>
    <w:rsid w:val="002063F2"/>
    <w:rsid w:val="00207BC5"/>
    <w:rsid w:val="002212BD"/>
    <w:rsid w:val="002247E6"/>
    <w:rsid w:val="00226A08"/>
    <w:rsid w:val="00230B37"/>
    <w:rsid w:val="00233572"/>
    <w:rsid w:val="00235B6D"/>
    <w:rsid w:val="00237F70"/>
    <w:rsid w:val="0024150D"/>
    <w:rsid w:val="00242DCF"/>
    <w:rsid w:val="002448B7"/>
    <w:rsid w:val="00245CA0"/>
    <w:rsid w:val="00246DC5"/>
    <w:rsid w:val="0025161C"/>
    <w:rsid w:val="00252615"/>
    <w:rsid w:val="00255678"/>
    <w:rsid w:val="00256A7E"/>
    <w:rsid w:val="0026092F"/>
    <w:rsid w:val="00261216"/>
    <w:rsid w:val="00261985"/>
    <w:rsid w:val="0026561B"/>
    <w:rsid w:val="00266BEE"/>
    <w:rsid w:val="00267D15"/>
    <w:rsid w:val="002715B8"/>
    <w:rsid w:val="00280B35"/>
    <w:rsid w:val="00283F8F"/>
    <w:rsid w:val="00285C22"/>
    <w:rsid w:val="00291923"/>
    <w:rsid w:val="0029255B"/>
    <w:rsid w:val="00294CF0"/>
    <w:rsid w:val="002977C6"/>
    <w:rsid w:val="002A4F4F"/>
    <w:rsid w:val="002A6C22"/>
    <w:rsid w:val="002B08E3"/>
    <w:rsid w:val="002B32F9"/>
    <w:rsid w:val="002B6101"/>
    <w:rsid w:val="002C1419"/>
    <w:rsid w:val="002C4DF1"/>
    <w:rsid w:val="002D0683"/>
    <w:rsid w:val="002D3377"/>
    <w:rsid w:val="002D7997"/>
    <w:rsid w:val="002E1B3E"/>
    <w:rsid w:val="002E4194"/>
    <w:rsid w:val="002E4ABA"/>
    <w:rsid w:val="002F0609"/>
    <w:rsid w:val="002F5350"/>
    <w:rsid w:val="00300899"/>
    <w:rsid w:val="00301BEC"/>
    <w:rsid w:val="003035FB"/>
    <w:rsid w:val="00306202"/>
    <w:rsid w:val="003071E0"/>
    <w:rsid w:val="00310247"/>
    <w:rsid w:val="00310A06"/>
    <w:rsid w:val="00311EC1"/>
    <w:rsid w:val="00321BB9"/>
    <w:rsid w:val="00322856"/>
    <w:rsid w:val="003232B2"/>
    <w:rsid w:val="00325E71"/>
    <w:rsid w:val="0033021B"/>
    <w:rsid w:val="00334E30"/>
    <w:rsid w:val="00334F6E"/>
    <w:rsid w:val="00345CD2"/>
    <w:rsid w:val="0034743D"/>
    <w:rsid w:val="00350345"/>
    <w:rsid w:val="00351FC1"/>
    <w:rsid w:val="003559D0"/>
    <w:rsid w:val="00362236"/>
    <w:rsid w:val="00364270"/>
    <w:rsid w:val="00367EEE"/>
    <w:rsid w:val="003931A8"/>
    <w:rsid w:val="00393B7E"/>
    <w:rsid w:val="003A09FB"/>
    <w:rsid w:val="003A45A1"/>
    <w:rsid w:val="003B0420"/>
    <w:rsid w:val="003B086F"/>
    <w:rsid w:val="003B321B"/>
    <w:rsid w:val="003B5EA2"/>
    <w:rsid w:val="003B6B08"/>
    <w:rsid w:val="003C4D02"/>
    <w:rsid w:val="003C4F1D"/>
    <w:rsid w:val="003C6CD8"/>
    <w:rsid w:val="003C6E5F"/>
    <w:rsid w:val="003F47C7"/>
    <w:rsid w:val="003F5A79"/>
    <w:rsid w:val="00401D3B"/>
    <w:rsid w:val="00401DE3"/>
    <w:rsid w:val="00401F08"/>
    <w:rsid w:val="004103F1"/>
    <w:rsid w:val="004118A1"/>
    <w:rsid w:val="00412035"/>
    <w:rsid w:val="004130DC"/>
    <w:rsid w:val="0041658B"/>
    <w:rsid w:val="00417ADB"/>
    <w:rsid w:val="00420C7F"/>
    <w:rsid w:val="00425007"/>
    <w:rsid w:val="004339B7"/>
    <w:rsid w:val="00434565"/>
    <w:rsid w:val="00436033"/>
    <w:rsid w:val="00437DC3"/>
    <w:rsid w:val="00441298"/>
    <w:rsid w:val="00446AAE"/>
    <w:rsid w:val="00452ED5"/>
    <w:rsid w:val="00455E30"/>
    <w:rsid w:val="004577B6"/>
    <w:rsid w:val="00463464"/>
    <w:rsid w:val="00464F90"/>
    <w:rsid w:val="004702B7"/>
    <w:rsid w:val="00472321"/>
    <w:rsid w:val="004765B0"/>
    <w:rsid w:val="0048250D"/>
    <w:rsid w:val="004854DC"/>
    <w:rsid w:val="00486180"/>
    <w:rsid w:val="004902C1"/>
    <w:rsid w:val="004930A4"/>
    <w:rsid w:val="00494CF6"/>
    <w:rsid w:val="004957A1"/>
    <w:rsid w:val="004A0363"/>
    <w:rsid w:val="004A1526"/>
    <w:rsid w:val="004A384F"/>
    <w:rsid w:val="004A4C88"/>
    <w:rsid w:val="004A6E5B"/>
    <w:rsid w:val="004B25AB"/>
    <w:rsid w:val="004B3D2B"/>
    <w:rsid w:val="004B5C14"/>
    <w:rsid w:val="004B5DE7"/>
    <w:rsid w:val="004B6778"/>
    <w:rsid w:val="004B6B6F"/>
    <w:rsid w:val="004B6FD3"/>
    <w:rsid w:val="004C028E"/>
    <w:rsid w:val="004C3D48"/>
    <w:rsid w:val="004D6557"/>
    <w:rsid w:val="004D6D92"/>
    <w:rsid w:val="004D73CA"/>
    <w:rsid w:val="004E4BD5"/>
    <w:rsid w:val="004E4EEA"/>
    <w:rsid w:val="004E64EB"/>
    <w:rsid w:val="004F3A6D"/>
    <w:rsid w:val="004F5201"/>
    <w:rsid w:val="004F6C80"/>
    <w:rsid w:val="00503DB7"/>
    <w:rsid w:val="00510795"/>
    <w:rsid w:val="00516F50"/>
    <w:rsid w:val="00522929"/>
    <w:rsid w:val="0052642B"/>
    <w:rsid w:val="005348EA"/>
    <w:rsid w:val="00536FC2"/>
    <w:rsid w:val="00540620"/>
    <w:rsid w:val="005462FD"/>
    <w:rsid w:val="00546E82"/>
    <w:rsid w:val="00547649"/>
    <w:rsid w:val="005559E1"/>
    <w:rsid w:val="00555E19"/>
    <w:rsid w:val="00556ABD"/>
    <w:rsid w:val="00562112"/>
    <w:rsid w:val="005703F1"/>
    <w:rsid w:val="005743A4"/>
    <w:rsid w:val="005762F7"/>
    <w:rsid w:val="00582B56"/>
    <w:rsid w:val="00586FC7"/>
    <w:rsid w:val="00587D80"/>
    <w:rsid w:val="0059777B"/>
    <w:rsid w:val="005A1DE3"/>
    <w:rsid w:val="005A500D"/>
    <w:rsid w:val="005A5FD0"/>
    <w:rsid w:val="005A657E"/>
    <w:rsid w:val="005A676D"/>
    <w:rsid w:val="005A6CCB"/>
    <w:rsid w:val="005B71AC"/>
    <w:rsid w:val="005C1D57"/>
    <w:rsid w:val="005C2AE0"/>
    <w:rsid w:val="005C617A"/>
    <w:rsid w:val="005D0AB4"/>
    <w:rsid w:val="005D63BE"/>
    <w:rsid w:val="005D6833"/>
    <w:rsid w:val="005E10D4"/>
    <w:rsid w:val="005E2F60"/>
    <w:rsid w:val="005E412D"/>
    <w:rsid w:val="005E4FAA"/>
    <w:rsid w:val="005F0907"/>
    <w:rsid w:val="005F0A2A"/>
    <w:rsid w:val="005F7F7C"/>
    <w:rsid w:val="0060025C"/>
    <w:rsid w:val="006040AF"/>
    <w:rsid w:val="00605120"/>
    <w:rsid w:val="0060782E"/>
    <w:rsid w:val="00611D70"/>
    <w:rsid w:val="006177CC"/>
    <w:rsid w:val="00617B93"/>
    <w:rsid w:val="00621AE3"/>
    <w:rsid w:val="00623583"/>
    <w:rsid w:val="00626627"/>
    <w:rsid w:val="0062727F"/>
    <w:rsid w:val="00627402"/>
    <w:rsid w:val="00641D51"/>
    <w:rsid w:val="00646B73"/>
    <w:rsid w:val="00652013"/>
    <w:rsid w:val="006568C9"/>
    <w:rsid w:val="00656B25"/>
    <w:rsid w:val="00674B9C"/>
    <w:rsid w:val="00682339"/>
    <w:rsid w:val="006864DB"/>
    <w:rsid w:val="00692A7E"/>
    <w:rsid w:val="00692CA6"/>
    <w:rsid w:val="0069753D"/>
    <w:rsid w:val="0069757B"/>
    <w:rsid w:val="006A3018"/>
    <w:rsid w:val="006A6975"/>
    <w:rsid w:val="006A7988"/>
    <w:rsid w:val="006B11A5"/>
    <w:rsid w:val="006B17A8"/>
    <w:rsid w:val="006C006C"/>
    <w:rsid w:val="006C2F56"/>
    <w:rsid w:val="006C331B"/>
    <w:rsid w:val="006D0690"/>
    <w:rsid w:val="006D56E3"/>
    <w:rsid w:val="006E4C0E"/>
    <w:rsid w:val="0070040B"/>
    <w:rsid w:val="00701DD2"/>
    <w:rsid w:val="0071070A"/>
    <w:rsid w:val="00712869"/>
    <w:rsid w:val="007131BB"/>
    <w:rsid w:val="007138E5"/>
    <w:rsid w:val="00715A59"/>
    <w:rsid w:val="00717D66"/>
    <w:rsid w:val="00725D81"/>
    <w:rsid w:val="007325ED"/>
    <w:rsid w:val="0073710D"/>
    <w:rsid w:val="00742849"/>
    <w:rsid w:val="00746AFE"/>
    <w:rsid w:val="00760062"/>
    <w:rsid w:val="007624F0"/>
    <w:rsid w:val="00763DF2"/>
    <w:rsid w:val="0076472F"/>
    <w:rsid w:val="00766564"/>
    <w:rsid w:val="00766A6F"/>
    <w:rsid w:val="00770D64"/>
    <w:rsid w:val="007767E3"/>
    <w:rsid w:val="00790C74"/>
    <w:rsid w:val="00792738"/>
    <w:rsid w:val="0079277C"/>
    <w:rsid w:val="00793759"/>
    <w:rsid w:val="0079387D"/>
    <w:rsid w:val="00794540"/>
    <w:rsid w:val="007A0458"/>
    <w:rsid w:val="007A1209"/>
    <w:rsid w:val="007A315E"/>
    <w:rsid w:val="007A6FBB"/>
    <w:rsid w:val="007B1F4A"/>
    <w:rsid w:val="007B36A0"/>
    <w:rsid w:val="007B6CF6"/>
    <w:rsid w:val="007C3948"/>
    <w:rsid w:val="007C703C"/>
    <w:rsid w:val="007D0DDA"/>
    <w:rsid w:val="007D1AFE"/>
    <w:rsid w:val="007D25DE"/>
    <w:rsid w:val="007D287E"/>
    <w:rsid w:val="007D571E"/>
    <w:rsid w:val="007D6E34"/>
    <w:rsid w:val="007E2121"/>
    <w:rsid w:val="007E23F6"/>
    <w:rsid w:val="007E2D90"/>
    <w:rsid w:val="007F11A2"/>
    <w:rsid w:val="007F5643"/>
    <w:rsid w:val="007F76E6"/>
    <w:rsid w:val="008016A6"/>
    <w:rsid w:val="00802007"/>
    <w:rsid w:val="00803C3B"/>
    <w:rsid w:val="00805C47"/>
    <w:rsid w:val="00816D4D"/>
    <w:rsid w:val="0081747E"/>
    <w:rsid w:val="00821404"/>
    <w:rsid w:val="00821B21"/>
    <w:rsid w:val="00824A70"/>
    <w:rsid w:val="00825856"/>
    <w:rsid w:val="008258F6"/>
    <w:rsid w:val="00832EC2"/>
    <w:rsid w:val="008351ED"/>
    <w:rsid w:val="00836897"/>
    <w:rsid w:val="00843682"/>
    <w:rsid w:val="008530AD"/>
    <w:rsid w:val="008549A1"/>
    <w:rsid w:val="00863338"/>
    <w:rsid w:val="008650DA"/>
    <w:rsid w:val="0086647C"/>
    <w:rsid w:val="00870242"/>
    <w:rsid w:val="00872D1A"/>
    <w:rsid w:val="00887739"/>
    <w:rsid w:val="008A0FC2"/>
    <w:rsid w:val="008A5CBA"/>
    <w:rsid w:val="008A7235"/>
    <w:rsid w:val="008B55E9"/>
    <w:rsid w:val="008B682B"/>
    <w:rsid w:val="008C2E6B"/>
    <w:rsid w:val="008C4E19"/>
    <w:rsid w:val="008D32DB"/>
    <w:rsid w:val="008D3F23"/>
    <w:rsid w:val="008D5402"/>
    <w:rsid w:val="008D5665"/>
    <w:rsid w:val="008D5A5E"/>
    <w:rsid w:val="008F1A86"/>
    <w:rsid w:val="008F2DC1"/>
    <w:rsid w:val="008F3B7F"/>
    <w:rsid w:val="008F47AA"/>
    <w:rsid w:val="008F4CD3"/>
    <w:rsid w:val="009004EC"/>
    <w:rsid w:val="009015D5"/>
    <w:rsid w:val="00902CB6"/>
    <w:rsid w:val="00906F5E"/>
    <w:rsid w:val="009071BF"/>
    <w:rsid w:val="00912730"/>
    <w:rsid w:val="009159E6"/>
    <w:rsid w:val="0092098F"/>
    <w:rsid w:val="00925812"/>
    <w:rsid w:val="00932FE4"/>
    <w:rsid w:val="0093352C"/>
    <w:rsid w:val="00935B09"/>
    <w:rsid w:val="0093645C"/>
    <w:rsid w:val="009375C2"/>
    <w:rsid w:val="00941792"/>
    <w:rsid w:val="009449E9"/>
    <w:rsid w:val="009466B2"/>
    <w:rsid w:val="00952D07"/>
    <w:rsid w:val="00956B95"/>
    <w:rsid w:val="00956C88"/>
    <w:rsid w:val="00957850"/>
    <w:rsid w:val="00962170"/>
    <w:rsid w:val="00964A63"/>
    <w:rsid w:val="00966832"/>
    <w:rsid w:val="00967506"/>
    <w:rsid w:val="00971F6F"/>
    <w:rsid w:val="0097573D"/>
    <w:rsid w:val="009803D0"/>
    <w:rsid w:val="00980E51"/>
    <w:rsid w:val="009823C7"/>
    <w:rsid w:val="0098283B"/>
    <w:rsid w:val="00982D80"/>
    <w:rsid w:val="00983AC2"/>
    <w:rsid w:val="009901DF"/>
    <w:rsid w:val="0099149B"/>
    <w:rsid w:val="009A2156"/>
    <w:rsid w:val="009A75F0"/>
    <w:rsid w:val="009A785C"/>
    <w:rsid w:val="009A7ADD"/>
    <w:rsid w:val="009A7DDE"/>
    <w:rsid w:val="009B04E4"/>
    <w:rsid w:val="009B1499"/>
    <w:rsid w:val="009B4C0D"/>
    <w:rsid w:val="009C2486"/>
    <w:rsid w:val="009C2BCE"/>
    <w:rsid w:val="009C3C6D"/>
    <w:rsid w:val="009D3420"/>
    <w:rsid w:val="009E24FD"/>
    <w:rsid w:val="009E2624"/>
    <w:rsid w:val="009E343B"/>
    <w:rsid w:val="009E5F5A"/>
    <w:rsid w:val="009F43E2"/>
    <w:rsid w:val="009F602B"/>
    <w:rsid w:val="00A04B5E"/>
    <w:rsid w:val="00A12778"/>
    <w:rsid w:val="00A151D5"/>
    <w:rsid w:val="00A177CC"/>
    <w:rsid w:val="00A21D66"/>
    <w:rsid w:val="00A254FF"/>
    <w:rsid w:val="00A263D3"/>
    <w:rsid w:val="00A32B42"/>
    <w:rsid w:val="00A455F7"/>
    <w:rsid w:val="00A542E9"/>
    <w:rsid w:val="00A57815"/>
    <w:rsid w:val="00A602D6"/>
    <w:rsid w:val="00A610D5"/>
    <w:rsid w:val="00A62364"/>
    <w:rsid w:val="00A63BFD"/>
    <w:rsid w:val="00A64A2E"/>
    <w:rsid w:val="00A6713A"/>
    <w:rsid w:val="00A67296"/>
    <w:rsid w:val="00A707D2"/>
    <w:rsid w:val="00A70AF0"/>
    <w:rsid w:val="00A71905"/>
    <w:rsid w:val="00A90A51"/>
    <w:rsid w:val="00A93A37"/>
    <w:rsid w:val="00AA1A6A"/>
    <w:rsid w:val="00AA2672"/>
    <w:rsid w:val="00AB0B1C"/>
    <w:rsid w:val="00AB7504"/>
    <w:rsid w:val="00AC2BA7"/>
    <w:rsid w:val="00AC520D"/>
    <w:rsid w:val="00AD19DF"/>
    <w:rsid w:val="00AE7170"/>
    <w:rsid w:val="00AF1162"/>
    <w:rsid w:val="00AF18AC"/>
    <w:rsid w:val="00AF3277"/>
    <w:rsid w:val="00B004BD"/>
    <w:rsid w:val="00B00F08"/>
    <w:rsid w:val="00B02C4D"/>
    <w:rsid w:val="00B03F4F"/>
    <w:rsid w:val="00B0682B"/>
    <w:rsid w:val="00B112FA"/>
    <w:rsid w:val="00B12036"/>
    <w:rsid w:val="00B1273A"/>
    <w:rsid w:val="00B12AB8"/>
    <w:rsid w:val="00B273F4"/>
    <w:rsid w:val="00B30557"/>
    <w:rsid w:val="00B35669"/>
    <w:rsid w:val="00B37D76"/>
    <w:rsid w:val="00B422F4"/>
    <w:rsid w:val="00B47604"/>
    <w:rsid w:val="00B52746"/>
    <w:rsid w:val="00B634E0"/>
    <w:rsid w:val="00B6674A"/>
    <w:rsid w:val="00B70F63"/>
    <w:rsid w:val="00B743F3"/>
    <w:rsid w:val="00B75A96"/>
    <w:rsid w:val="00B76027"/>
    <w:rsid w:val="00B764E5"/>
    <w:rsid w:val="00B777C9"/>
    <w:rsid w:val="00B84FD2"/>
    <w:rsid w:val="00B85849"/>
    <w:rsid w:val="00B91D74"/>
    <w:rsid w:val="00B92230"/>
    <w:rsid w:val="00BB0698"/>
    <w:rsid w:val="00BB2219"/>
    <w:rsid w:val="00BB26A8"/>
    <w:rsid w:val="00BB28DA"/>
    <w:rsid w:val="00BB5319"/>
    <w:rsid w:val="00BB5FF7"/>
    <w:rsid w:val="00BC0810"/>
    <w:rsid w:val="00BC341F"/>
    <w:rsid w:val="00BC35FA"/>
    <w:rsid w:val="00BD4B42"/>
    <w:rsid w:val="00BE2B41"/>
    <w:rsid w:val="00BE571C"/>
    <w:rsid w:val="00BF2850"/>
    <w:rsid w:val="00C0130A"/>
    <w:rsid w:val="00C12BCF"/>
    <w:rsid w:val="00C13EED"/>
    <w:rsid w:val="00C1597C"/>
    <w:rsid w:val="00C15FB9"/>
    <w:rsid w:val="00C17876"/>
    <w:rsid w:val="00C21E2E"/>
    <w:rsid w:val="00C22935"/>
    <w:rsid w:val="00C24C72"/>
    <w:rsid w:val="00C25CE4"/>
    <w:rsid w:val="00C35FF1"/>
    <w:rsid w:val="00C3647E"/>
    <w:rsid w:val="00C367CC"/>
    <w:rsid w:val="00C37C92"/>
    <w:rsid w:val="00C41403"/>
    <w:rsid w:val="00C438E7"/>
    <w:rsid w:val="00C62AC4"/>
    <w:rsid w:val="00C636E3"/>
    <w:rsid w:val="00C645F2"/>
    <w:rsid w:val="00C67225"/>
    <w:rsid w:val="00C73496"/>
    <w:rsid w:val="00C80945"/>
    <w:rsid w:val="00C85D0B"/>
    <w:rsid w:val="00C87836"/>
    <w:rsid w:val="00C9206D"/>
    <w:rsid w:val="00C9294F"/>
    <w:rsid w:val="00C96B88"/>
    <w:rsid w:val="00C96EAF"/>
    <w:rsid w:val="00CA0EB9"/>
    <w:rsid w:val="00CA2AA4"/>
    <w:rsid w:val="00CA4904"/>
    <w:rsid w:val="00CA4D7C"/>
    <w:rsid w:val="00CB6ED6"/>
    <w:rsid w:val="00CC1659"/>
    <w:rsid w:val="00CC2ABB"/>
    <w:rsid w:val="00CC7221"/>
    <w:rsid w:val="00CD44E0"/>
    <w:rsid w:val="00CD51A0"/>
    <w:rsid w:val="00CD5E1F"/>
    <w:rsid w:val="00CD7ADF"/>
    <w:rsid w:val="00CE4B7D"/>
    <w:rsid w:val="00CE6247"/>
    <w:rsid w:val="00CF1C51"/>
    <w:rsid w:val="00CF2F73"/>
    <w:rsid w:val="00CF5E16"/>
    <w:rsid w:val="00CF6537"/>
    <w:rsid w:val="00D01171"/>
    <w:rsid w:val="00D02B35"/>
    <w:rsid w:val="00D03346"/>
    <w:rsid w:val="00D03781"/>
    <w:rsid w:val="00D049D3"/>
    <w:rsid w:val="00D21659"/>
    <w:rsid w:val="00D21889"/>
    <w:rsid w:val="00D24ED3"/>
    <w:rsid w:val="00D27DCF"/>
    <w:rsid w:val="00D34C34"/>
    <w:rsid w:val="00D3653C"/>
    <w:rsid w:val="00D462E0"/>
    <w:rsid w:val="00D5463D"/>
    <w:rsid w:val="00D55F3C"/>
    <w:rsid w:val="00D55F53"/>
    <w:rsid w:val="00D56A4C"/>
    <w:rsid w:val="00D57BA0"/>
    <w:rsid w:val="00D646E4"/>
    <w:rsid w:val="00D700AA"/>
    <w:rsid w:val="00D73497"/>
    <w:rsid w:val="00D8524D"/>
    <w:rsid w:val="00D85621"/>
    <w:rsid w:val="00D91413"/>
    <w:rsid w:val="00D92D60"/>
    <w:rsid w:val="00D94205"/>
    <w:rsid w:val="00D955B0"/>
    <w:rsid w:val="00DA076A"/>
    <w:rsid w:val="00DA4970"/>
    <w:rsid w:val="00DA5FE1"/>
    <w:rsid w:val="00DB18E7"/>
    <w:rsid w:val="00DB2ADF"/>
    <w:rsid w:val="00DB37FD"/>
    <w:rsid w:val="00DB3D1D"/>
    <w:rsid w:val="00DB3E2D"/>
    <w:rsid w:val="00DB63FB"/>
    <w:rsid w:val="00DB77B4"/>
    <w:rsid w:val="00DC7006"/>
    <w:rsid w:val="00DD45BC"/>
    <w:rsid w:val="00DD4AFE"/>
    <w:rsid w:val="00DD6D62"/>
    <w:rsid w:val="00DD7E53"/>
    <w:rsid w:val="00DE7EB9"/>
    <w:rsid w:val="00DF7B2B"/>
    <w:rsid w:val="00E018E9"/>
    <w:rsid w:val="00E01E9C"/>
    <w:rsid w:val="00E06166"/>
    <w:rsid w:val="00E10955"/>
    <w:rsid w:val="00E1215D"/>
    <w:rsid w:val="00E149E0"/>
    <w:rsid w:val="00E17ABC"/>
    <w:rsid w:val="00E17B97"/>
    <w:rsid w:val="00E26C77"/>
    <w:rsid w:val="00E304C3"/>
    <w:rsid w:val="00E3245A"/>
    <w:rsid w:val="00E335CB"/>
    <w:rsid w:val="00E36DD0"/>
    <w:rsid w:val="00E42327"/>
    <w:rsid w:val="00E42EE2"/>
    <w:rsid w:val="00E43225"/>
    <w:rsid w:val="00E513E9"/>
    <w:rsid w:val="00E515FA"/>
    <w:rsid w:val="00E52401"/>
    <w:rsid w:val="00E61471"/>
    <w:rsid w:val="00E62DD4"/>
    <w:rsid w:val="00E63BFC"/>
    <w:rsid w:val="00E75026"/>
    <w:rsid w:val="00E81127"/>
    <w:rsid w:val="00E83868"/>
    <w:rsid w:val="00E9183A"/>
    <w:rsid w:val="00E92E01"/>
    <w:rsid w:val="00EA1B7E"/>
    <w:rsid w:val="00EA7241"/>
    <w:rsid w:val="00EB3277"/>
    <w:rsid w:val="00EB3C7B"/>
    <w:rsid w:val="00EB7296"/>
    <w:rsid w:val="00EC0665"/>
    <w:rsid w:val="00EC0C40"/>
    <w:rsid w:val="00EC1DE4"/>
    <w:rsid w:val="00EC2796"/>
    <w:rsid w:val="00EC7C6B"/>
    <w:rsid w:val="00ED17ED"/>
    <w:rsid w:val="00ED2607"/>
    <w:rsid w:val="00ED2C33"/>
    <w:rsid w:val="00ED6184"/>
    <w:rsid w:val="00EE4DAC"/>
    <w:rsid w:val="00EE76CF"/>
    <w:rsid w:val="00EF15FF"/>
    <w:rsid w:val="00F02828"/>
    <w:rsid w:val="00F02AC1"/>
    <w:rsid w:val="00F10721"/>
    <w:rsid w:val="00F11ECB"/>
    <w:rsid w:val="00F15319"/>
    <w:rsid w:val="00F16533"/>
    <w:rsid w:val="00F16D3A"/>
    <w:rsid w:val="00F200AE"/>
    <w:rsid w:val="00F2108F"/>
    <w:rsid w:val="00F25419"/>
    <w:rsid w:val="00F26456"/>
    <w:rsid w:val="00F433D2"/>
    <w:rsid w:val="00F465D0"/>
    <w:rsid w:val="00F508AD"/>
    <w:rsid w:val="00F5305A"/>
    <w:rsid w:val="00F543E2"/>
    <w:rsid w:val="00F5604C"/>
    <w:rsid w:val="00F60605"/>
    <w:rsid w:val="00F61131"/>
    <w:rsid w:val="00F7681B"/>
    <w:rsid w:val="00F936CD"/>
    <w:rsid w:val="00FA380C"/>
    <w:rsid w:val="00FA5035"/>
    <w:rsid w:val="00FA6361"/>
    <w:rsid w:val="00FB546F"/>
    <w:rsid w:val="00FB56B4"/>
    <w:rsid w:val="00FC45EF"/>
    <w:rsid w:val="00FC637C"/>
    <w:rsid w:val="00FC6E4A"/>
    <w:rsid w:val="00FD0AC2"/>
    <w:rsid w:val="00FD13F9"/>
    <w:rsid w:val="00FD3952"/>
    <w:rsid w:val="00FD405D"/>
    <w:rsid w:val="00FD4167"/>
    <w:rsid w:val="00FE1653"/>
    <w:rsid w:val="00FE2745"/>
    <w:rsid w:val="00FE6D10"/>
    <w:rsid w:val="00FF047B"/>
    <w:rsid w:val="00FF162D"/>
    <w:rsid w:val="00FF38AB"/>
    <w:rsid w:val="00FF76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 w:type="character" w:styleId="CommentReference">
    <w:name w:val="annotation reference"/>
    <w:basedOn w:val="DefaultParagraphFont"/>
    <w:uiPriority w:val="99"/>
    <w:semiHidden/>
    <w:unhideWhenUsed/>
    <w:rsid w:val="00641D51"/>
    <w:rPr>
      <w:sz w:val="16"/>
      <w:szCs w:val="16"/>
    </w:rPr>
  </w:style>
  <w:style w:type="paragraph" w:styleId="CommentText">
    <w:name w:val="annotation text"/>
    <w:basedOn w:val="Normal"/>
    <w:link w:val="CommentTextChar"/>
    <w:uiPriority w:val="99"/>
    <w:unhideWhenUsed/>
    <w:rsid w:val="00641D51"/>
    <w:pPr>
      <w:spacing w:line="240" w:lineRule="auto"/>
    </w:pPr>
    <w:rPr>
      <w:sz w:val="20"/>
      <w:szCs w:val="20"/>
    </w:rPr>
  </w:style>
  <w:style w:type="character" w:customStyle="1" w:styleId="CommentTextChar">
    <w:name w:val="Comment Text Char"/>
    <w:basedOn w:val="DefaultParagraphFont"/>
    <w:link w:val="CommentText"/>
    <w:uiPriority w:val="99"/>
    <w:rsid w:val="00641D51"/>
    <w:rPr>
      <w:sz w:val="20"/>
      <w:szCs w:val="20"/>
    </w:rPr>
  </w:style>
  <w:style w:type="paragraph" w:styleId="CommentSubject">
    <w:name w:val="annotation subject"/>
    <w:basedOn w:val="CommentText"/>
    <w:next w:val="CommentText"/>
    <w:link w:val="CommentSubjectChar"/>
    <w:uiPriority w:val="99"/>
    <w:semiHidden/>
    <w:unhideWhenUsed/>
    <w:rsid w:val="00641D51"/>
    <w:rPr>
      <w:b/>
      <w:bCs/>
    </w:rPr>
  </w:style>
  <w:style w:type="character" w:customStyle="1" w:styleId="CommentSubjectChar">
    <w:name w:val="Comment Subject Char"/>
    <w:basedOn w:val="CommentTextChar"/>
    <w:link w:val="CommentSubject"/>
    <w:uiPriority w:val="99"/>
    <w:semiHidden/>
    <w:rsid w:val="00641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7986">
      <w:bodyDiv w:val="1"/>
      <w:marLeft w:val="0"/>
      <w:marRight w:val="0"/>
      <w:marTop w:val="0"/>
      <w:marBottom w:val="0"/>
      <w:divBdr>
        <w:top w:val="none" w:sz="0" w:space="0" w:color="auto"/>
        <w:left w:val="none" w:sz="0" w:space="0" w:color="auto"/>
        <w:bottom w:val="none" w:sz="0" w:space="0" w:color="auto"/>
        <w:right w:val="none" w:sz="0" w:space="0" w:color="auto"/>
      </w:divBdr>
    </w:div>
    <w:div w:id="1002047379">
      <w:bodyDiv w:val="1"/>
      <w:marLeft w:val="0"/>
      <w:marRight w:val="0"/>
      <w:marTop w:val="0"/>
      <w:marBottom w:val="0"/>
      <w:divBdr>
        <w:top w:val="none" w:sz="0" w:space="0" w:color="auto"/>
        <w:left w:val="none" w:sz="0" w:space="0" w:color="auto"/>
        <w:bottom w:val="none" w:sz="0" w:space="0" w:color="auto"/>
        <w:right w:val="none" w:sz="0" w:space="0" w:color="auto"/>
      </w:divBdr>
      <w:divsChild>
        <w:div w:id="604535124">
          <w:marLeft w:val="0"/>
          <w:marRight w:val="0"/>
          <w:marTop w:val="0"/>
          <w:marBottom w:val="0"/>
          <w:divBdr>
            <w:top w:val="none" w:sz="0" w:space="0" w:color="auto"/>
            <w:left w:val="none" w:sz="0" w:space="0" w:color="auto"/>
            <w:bottom w:val="none" w:sz="0" w:space="0" w:color="auto"/>
            <w:right w:val="none" w:sz="0" w:space="0" w:color="auto"/>
          </w:divBdr>
          <w:divsChild>
            <w:div w:id="1304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5750</TotalTime>
  <Pages>1</Pages>
  <Words>7293</Words>
  <Characters>41571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158</cp:revision>
  <dcterms:created xsi:type="dcterms:W3CDTF">2022-04-18T13:42:00Z</dcterms:created>
  <dcterms:modified xsi:type="dcterms:W3CDTF">2022-05-06T19:04:00Z</dcterms:modified>
</cp:coreProperties>
</file>