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mc:Ignorable="vyd" w:conformance="transitional">
  <w:background/>
  <w:body vyd:_id="vyd:00000000000001">
    <w:p vyd:_id="vyd:0000000000003j">
      <w:pPr>
        <w:spacing w:line="360" w:lineRule="auto" w:after="0"/>
        <w:ind w:firstLine="0"/>
        <w:jc w:val="center"/>
        <w:rPr>
          <w:rFonts w:ascii="Times New Roman" w:hAnsi="Times New Roman" w:eastAsia="Times New Roman" w:cs="Times New Roman"/>
          <w:sz w:val="30"/>
          <w:color w:val="000000"/>
          <w:b w:val="1"/>
          <w:i w:val="0"/>
          <w:shd w:val="clear" w:fill="FFFFFF"/>
        </w:rPr>
      </w:pPr>
      <w:r>
        <w:rPr>
          <w:rFonts w:ascii="Times New Roman" w:hAnsi="Times New Roman"/>
          <w:sz w:val="30"/>
          <w:b w:val="1"/>
        </w:rPr>
        <w:t vyd:_id="vyd:0000000000003k" xml:space="preserve">МАППИНГ. </w:t>
      </w:r>
      <w:r>
        <w:rPr>
          <w:rFonts w:ascii="Times New Roman" w:hAnsi="Times New Roman" w:eastAsia="Times New Roman" w:cs="Times New Roman"/>
          <w:sz w:val="30"/>
          <w:color w:val="000000"/>
          <w:b w:val="1"/>
          <w:i w:val="0"/>
          <w:shd w:val="clear" w:fill="FFFFFF"/>
        </w:rPr>
        <w:t vyd:_id="vyd:mug3sp5sad0mbj">СЕРВИС ГЕНЕРАЦИИ WEBP-МИНИАТЮР ТОВАРОВ</w:t>
      </w:r>
    </w:p>
    <w:p vyd:_id="vyd:mug3syh0tauwbt">
      <w:pPr>
        <w:spacing w:line="360" w:lineRule="auto" w:after="0"/>
        <w:ind w:firstLine="0"/>
        <w:jc w:val="center"/>
        <w:rPr>
          <w:sz w:val="36"/>
        </w:rPr>
      </w:pPr>
      <w:r>
        <w:rPr>
          <w:rFonts w:ascii="Times New Roman" w:hAnsi="Times New Roman"/>
          <w:sz w:val="32"/>
          <w:b w:val="1"/>
        </w:rPr>
        <w:t vyd:_id="vyd:mu63y67dycql66" xml:space="preserve">Усачев Тимур </w:t>
      </w:r>
      <w:r>
        <w:rPr>
          <w:rFonts w:ascii="Times New Roman" w:hAnsi="Times New Roman"/>
          <w:sz w:val="32"/>
          <w:b w:val="1"/>
        </w:rPr>
        <w:t vyd:_id="vyd:0000000000003i">Вариант 1  5130904/40102</w:t>
      </w:r>
    </w:p>
    <w:tbl vyd:_id="vyd:mug3rhnsfrapf2">
      <w:tblPr>
        <w:tblStyle w:val="TableGrid"/>
        <w:tblW w:w="9973" w:type="dxa"/>
        <w:tblBorders/>
        <w:tblLayout w:type="fixed"/>
      </w:tblPr>
      <w:tblGrid/>
      <w:tr vyd:_id="vyd:mug3rhofaornaq">
        <w:tc vyd:_id="vyd:mug3rhogtgby3q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hhfmeuy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ohgcoipc">Источник</w:t>
            </w:r>
          </w:p>
        </w:tc>
        <w:tc vyd:_id="vyd:mug3rhogxecx3o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g974a45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g4lo8s3">Активные экземпляры клиентских подсистем Image API: сервис загрузки товаров, модуль массового импорта, административная CMS</w:t>
            </w:r>
          </w:p>
        </w:tc>
        <w:tc vyd:_id="vyd:mug3rhoftppvem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ftovk9t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gb5yy49">N бесконечных источников ИБ формируют задания на создание миниатюр. Для источника Ii интенсивность обозначается λi. Поступление соответствует ИЗ1 - пуассоновскому потоку.</w:t>
            </w:r>
          </w:p>
        </w:tc>
      </w:tr>
      <w:tr vyd:_id="vyd:mug3rhodj84om3">
        <w:tc vyd:_id="vyd:mug3rhofcm2296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fosw9r2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of2wvn0y">Заявка</w:t>
            </w:r>
          </w:p>
        </w:tc>
        <w:tc vyd:_id="vyd:mug3rhoeywe67i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eez72mx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f5mlv20">Задание на создание миниатюры 800×800 WebP</w:t>
            </w:r>
          </w:p>
        </w:tc>
        <w:tc vyd:_id="vyd:mug3rhoeqghrty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erbfarz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ep9lk0o">Содержит request_id, идентификатор источника, ссылку на исходное изображение и время поступления. После обслуживания результатом является сохранённая WebP-миниатюра.</w:t>
            </w:r>
          </w:p>
        </w:tc>
      </w:tr>
      <w:tr vyd:_id="vyd:mug3rhobb2wwg0">
        <w:tc vyd:_id="vyd:mug3rhod0qekbj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dkw1bck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odqkvdp4">Буферная память</w:t>
            </w:r>
          </w:p>
        </w:tc>
        <w:tc vyd:_id="vyd:mug3rhocxsermi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cm0ra4q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duhj27i">Общая очередь Image API вместимостью B заявок</w:t>
            </w:r>
          </w:p>
        </w:tc>
        <w:tc vyd:_id="vyd:mug3rhoc095bq2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czuku0q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c12knbg">Хранит задания, когда все M вычислительных узлов заняты. Свободное место ищется от указателя по кольцу; после записи указатель сдвигается на следующую позицию по Д10З1.</w:t>
            </w:r>
          </w:p>
        </w:tc>
      </w:tr>
      <w:tr vyd:_id="vyd:mug3rho9tw24il">
        <w:tc vyd:_id="vyd:mug3rhobus96yl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bwmca34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obyox2ch">Прибор</w:t>
            </w:r>
          </w:p>
        </w:tc>
        <w:tc vyd:_id="vyd:mug3rhoaol5g6c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adjndbv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buhg7sy">Серверные вычислительные узлы IMG-1, IMG-2, ..., IMG-M</w:t>
            </w:r>
          </w:p>
        </w:tc>
        <w:tc vyd:_id="vyd:mug3rhoae3a78u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ara2lsg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apcujzc">Каждый узел обслуживает одну заявку: декодирование, масштабирование до 800×800 и кодирование WebP. Время обслуживания распределено равномерно в интервале [tmin; tmax] по ПЗ2.</w:t>
            </w:r>
          </w:p>
        </w:tc>
      </w:tr>
      <w:tr vyd:_id="vyd:mug3rho7156in6">
        <w:tc vyd:_id="vyd:mug3rho9t4s6ax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91h025l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o9v7p78m">Диспетчер постановки</w:t>
            </w:r>
          </w:p>
        </w:tc>
        <w:tc vyd:_id="vyd:mug3rho87mwucx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8glrgsd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9r1ei95">Модуль приёма запросов Image API и указатель общего буфера</w:t>
            </w:r>
          </w:p>
        </w:tc>
        <w:tc vyd:_id="vyd:mug3rho7kdqt9l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8skuljt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8clttw7">Если есть свободный прибор, передаёт заявку ему. Если все M приборов заняты, ищет место среди B позиций буфера по кольцу Д10З1; при полном буфере применяет Д10О1.</w:t>
            </w:r>
          </w:p>
        </w:tc>
      </w:tr>
      <w:tr vyd:_id="vyd:mug3rho5mt4gt6">
        <w:tc vyd:_id="vyd:mug3rho7hprhoq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7yy8zxd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o77y3lnd">Диспетчер выбора</w:t>
            </w:r>
          </w:p>
        </w:tc>
        <w:tc vyd:_id="vyd:mug3rho6f1jy2l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6sxdhbk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7nvox06">Планировщик сервиса обработки изображений</w:t>
            </w:r>
          </w:p>
        </w:tc>
        <w:tc vyd:_id="vyd:mug3rho6s9u4mm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6wgh1ju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620p75r">При освобождении прибора выбирает ожидающую заявку с самым ранним временем поступления по FIFO (Д2Б1). Если свободны несколько приборов, поиск начинается с IMG-1 и продолжается по возрастанию номера до IMG-M по Д2П1.</w:t>
            </w:r>
          </w:p>
        </w:tc>
      </w:tr>
      <w:tr vyd:_id="vyd:mug3rho0nk9oww">
        <w:tc vyd:_id="vyd:mug3rho2gfkn2i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2y9yxgg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o5xopnfw">Отказ</w:t>
            </w:r>
          </w:p>
        </w:tc>
        <w:tc vyd:_id="vyd:mug3rho1ol8c13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1nfwaao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2tp6uek">Завершение ожидающего задания с ошибкой 503 OVERLOAD</w:t>
            </w:r>
          </w:p>
        </w:tc>
        <w:tc vyd:_id="vyd:mug3rho0hyaa8j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1yvv570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15zz7py">При полном буфере заявка в позиции под текущим указателем удаляется без обработки, новая заявка занимает её место, указатель сдвигается дальше по Д10О1.</w:t>
            </w:r>
          </w:p>
        </w:tc>
      </w:tr>
      <w:tr vyd:_id="vyd:mug3rhnytxc90y">
        <w:tc vyd:_id="vyd:mug3rho053d02z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o0pw8qa2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o0u88y4y">Обслуживание</w:t>
            </w:r>
          </w:p>
        </w:tc>
        <w:tc vyd:_id="vyd:mug3rhnzunfkwq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zrf04ts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o0ky0tlw">Декодирование изображения, масштабирование до 800×800 и WebP-кодирование</w:t>
            </w:r>
          </w:p>
        </w:tc>
        <w:tc vyd:_id="vyd:mug3rhnydackpi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zayp3ta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nzivo6ux">Один из узлов IMG-i выполняет преобразование заявки за время из интервала [tmin; tmax], сохраняет готовую миниатюру и освобождается для следующей заявки.</w:t>
            </w:r>
          </w:p>
        </w:tc>
      </w:tr>
      <w:tr vyd:_id="vyd:mug3rhnwhhaz6b">
        <w:tc vyd:_id="vyd:mug3rhny221nko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y8ltb6d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ny6ilod9">Выход из системы</w:t>
            </w:r>
          </w:p>
        </w:tc>
        <w:tc vyd:_id="vyd:mug3rhnxgx0taj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xetkbyb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ny3wvww9">Сохранённая WebP-миниатюра или отказ 503 OVERLOAD</w:t>
            </w:r>
          </w:p>
        </w:tc>
        <w:tc vyd:_id="vyd:mug3rhnwsl6i0i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xti1y2l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nxv4hk7n">После успешной обработки заявка покидает систему с результатом и ссылкой на миниатюру; при Д10О1 покидает систему как отклонённая.</w:t>
            </w:r>
          </w:p>
        </w:tc>
      </w:tr>
      <w:tr vyd:_id="vyd:mug3rhnuh1yocg">
        <w:tc vyd:_id="vyd:mug3rhnwnwomhv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wrtqjbo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nwkctwfa">Отображение работы</w:t>
            </w:r>
          </w:p>
        </w:tc>
        <w:tc vyd:_id="vyd:mug3rhnvw0xl64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vkn11fu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nwbham7l">ОД1: календарь событий, B позиций буфера, состояния IMG-1 ... IMG-M</w:t>
            </w:r>
          </w:p>
        </w:tc>
        <w:tc vyd:_id="vyd:mug3rhnvjlihna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vjod46t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nvsic9bm">В пошаговом режиме показывает ближайшие поступления от N источников, моменты окончания обслуживания, содержимое позиций буфера и занятость каждого прибора.</w:t>
            </w:r>
          </w:p>
        </w:tc>
      </w:tr>
      <w:tr vyd:_id="vyd:mug3rhnsu8ckf2">
        <w:tc vyd:_id="vyd:mug3rhnuotbt5d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u1jujgq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1"/>
              </w:rPr>
              <w:t vyd:_id="vyd:mug3rhnulvqdwu">Отображение результатов</w:t>
            </w:r>
          </w:p>
        </w:tc>
        <w:tc vyd:_id="vyd:mug3rhnto2zpy2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tz560ha">
            <w:pPr>
              <w:spacing w:after="0" w:lineRule="auto" w:line="240" w:before="0"/>
              <w:ind w:start="0" w:end="0" w:firstLine="0"/>
              <w:jc w:val="star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nu1vqjpg">ОР2: графики pотк, Tпреб и Kисп,i</w:t>
            </w:r>
          </w:p>
        </w:tc>
        <w:tc vyd:_id="vyd:mug3rhnsbhevvb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shd w:val="clear" w:fill="FFFFFF"/>
            <w:tcMar>
              <w:top w:w="90" w:type="dxa"/>
              <w:start w:w="0" w:type="dxa"/>
              <w:bottom w:w="90" w:type="dxa"/>
              <w:end w:w="0" w:type="dxa"/>
            </w:tcMar>
            <w:vAlign w:val="top"/>
          </w:tcPr>
          <w:p vyd:_id="vyd:mug3rhnt99uzxr">
            <w:pPr>
              <w:spacing w:after="0" w:lineRule="auto" w:line="240" w:before="0"/>
              <w:ind w:start="0" w:end="0" w:firstLine="0"/>
              <w:jc w:val="both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2"/>
                <w:b w:val="0"/>
              </w:rPr>
              <w:t vyd:_id="vyd:mug3rhnt7dmj6k">После сбора статистики строятся графики характеристик при изменении входных параметров модели, в том числе суммарной интенсивности λΣ, числа приборов M и вместимости буфера B.</w:t>
            </w:r>
          </w:p>
        </w:tc>
      </w:tr>
    </w:tbl>
    <w:p vyd:_id="vyd:mug3rhoitejuq1">
      <w:pPr>
        <w:ind w:firstLine="0"/>
      </w:pPr>
    </w:p>
    <w:sectPr vyd:_id="vyd:00000000000002" w:rsidR="00FC693F" w:rsidRPr="0006063C" w:rsidSect="00034616">
      <w:type w:val="nextPage"/>
      <w:pgSz w:w="12240" w:h="15840" w:orient="portrait"/>
      <w:pgMar w:top="1134" w:right="850" w:bottom="1134" w:left="1417" w:header="709" w:footer="709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p14="http://schemas.microsoft.com/office/word/2010/wordprocessingDrawing" xmlns:w14="http://schemas.microsoft.com/office/word/2010/wordml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v="urn:schemas-microsoft-com:vml" xmlns:mc="http://schemas.openxmlformats.org/markup-compatibility/2006" xmlns:o="urn:schemas-microsoft-com:office:office" xmlns:m="http://schemas.openxmlformats.org/officeDocument/2006/math" xmlns:w14="http://schemas.microsoft.com/office/word/2010/wordml" mc:Ignorable="w14">
  <w14:docId w14:val="24062061"/>
  <w14:defaultImageDpi w14:val="300"/>
  <w:zoom w:val="bestFit"/>
  <w:displayBackgroundShape w:val="1"/>
  <w:defaultTabStop w:val="720"/>
  <w:evenAndOddHeaders w:val="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76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character" w:styleId="DefaultParagraphFont" w:default="1">
    <w:name w:val="Default Paragraph Font"/>
    <w:uiPriority w:val="1"/>
    <w:semiHidden w:val="1"/>
    <w:unhideWhenUsed w:val="1"/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Times New Roman" w:hAnsi="Times New Roman" w:eastAsia="Times New Roman" w:asciiTheme="majorHAnsi" w:hAnsiTheme="majorHAnsi" w:eastAsiaTheme="majorEastAsia" w:cstheme="majorBidi"/>
      <w:sz w:val="28"/>
      <w:b w:val="1"/>
      <w:bCs w:val="1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Times New Roman" w:hAnsi="Times New Roman" w:eastAsia="Times New Roman" w:asciiTheme="majorHAnsi" w:hAnsiTheme="majorHAnsi" w:eastAsiaTheme="majorEastAsia" w:cstheme="majorBidi"/>
      <w:sz w:val="26"/>
      <w:b w:val="1"/>
      <w:bCs w:val="1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paragraph" w:styleId="List">
    <w:name w:val="List"/>
    <w:basedOn w:val="Normal"/>
    <w:uiPriority w:val="99"/>
    <w:unhideWhenUsed w:val="1"/>
    <w:rsid w:val="00AA1D8D"/>
    <w:pPr>
      <w:ind w:star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star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star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start="108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Paragraph">
    <w:name w:val="List Paragraph"/>
    <w:basedOn w:val="Normal"/>
    <w:uiPriority w:val="34"/>
    <w:qFormat w:val="1"/>
    <w:rsid w:val="00FC693F"/>
    <w:pPr>
      <w:ind w:start="72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paragraph" w:styleId="Normal" w:default="1">
    <w:name w:val="Normal"/>
    <w:qFormat w:val="1"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color w:val="000000" w:themeColor="text1"/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color w:val="000000" w:themeColor="text1"/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color w:val="C0504D" w:themeColor="accent2"/>
      <w:u w:val="single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="Times New Roman" w:hAnsi="Times New Roman" w:eastAsia="Times New Roman" w:asciiTheme="majorHAnsi" w:hAnsiTheme="majorHAnsi" w:eastAsiaTheme="majorEastAsia" w:cstheme="majorBidi"/>
      <w:sz w:val="52"/>
      <w:spacing w:val="5"/>
      <w:kern w:val="2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</w:styles>
</file>

<file path=word/stylesWithEffects.xml><?xml version="1.0" encoding="utf-8"?>
<w:styles xmlns:w="http://schemas.openxmlformats.org/wordprocessingml/2006/main" xmlns:mc="http://schemas.openxmlformats.org/markup-compatibility/2006" xmlns:wp14="http://schemas.microsoft.com/office/word/2010/wordprocessingDrawing" xmlns:w14="http://schemas.microsoft.com/office/word/2010/wordml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 xmlns:mc="http://schemas.openxmlformats.org/markup-compatibility/2006" xmlns:w14="http://schemas.microsoft.com/office/word/2010/wordml" mc:Ignorable="w14">
  <w:allowPNG/>
  <w:doNotSaveAsSingleFile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0</ep:TotalTime>
  <ep:Pages>1</ep:Pages>
  <ep:Words>0</ep:Words>
  <ep:Characters>0</ep:Characters>
  <ep:Application>Microsoft Macintosh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