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46DB" w14:textId="74618519" w:rsidR="00A661D3" w:rsidRDefault="00000000" w:rsidP="00954DDF">
      <w:pPr>
        <w:spacing w:after="80"/>
      </w:pPr>
      <w:r>
        <w:rPr>
          <w:rFonts w:ascii="Arial" w:hAnsi="Arial"/>
          <w:b/>
          <w:color w:val="0F172A"/>
          <w:sz w:val="44"/>
        </w:rPr>
        <w:t>Sovereign DPI-AI Public Agent Prototype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5040"/>
      </w:tblGrid>
      <w:tr w:rsidR="00A661D3" w14:paraId="344B7E07" w14:textId="77777777">
        <w:trPr>
          <w:jc w:val="center"/>
        </w:trPr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271B" w14:textId="7F4607B0" w:rsidR="00A661D3" w:rsidRDefault="00954DDF">
            <w:pPr>
              <w:spacing w:after="0"/>
            </w:pPr>
            <w:r>
              <w:rPr>
                <w:b/>
                <w:color w:val="1E293B"/>
                <w:sz w:val="19"/>
              </w:rPr>
              <w:t>System Core:</w:t>
            </w:r>
            <w:r>
              <w:rPr>
                <w:color w:val="475569"/>
                <w:sz w:val="19"/>
              </w:rPr>
              <w:t xml:space="preserve"> Python 3.11+, </w:t>
            </w:r>
            <w:proofErr w:type="spellStart"/>
            <w:r>
              <w:rPr>
                <w:color w:val="475569"/>
                <w:sz w:val="19"/>
              </w:rPr>
              <w:t>Ollama</w:t>
            </w:r>
            <w:proofErr w:type="spellEnd"/>
            <w:r>
              <w:rPr>
                <w:color w:val="475569"/>
                <w:sz w:val="19"/>
              </w:rPr>
              <w:t xml:space="preserve"> (qwen2.5-coder:7b), SQLite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3810" w14:textId="77777777" w:rsidR="00A661D3" w:rsidRDefault="00000000">
            <w:pPr>
              <w:spacing w:after="0"/>
            </w:pPr>
            <w:r>
              <w:rPr>
                <w:b/>
                <w:color w:val="1E293B"/>
                <w:sz w:val="19"/>
              </w:rPr>
              <w:t>Domain:</w:t>
            </w:r>
            <w:r>
              <w:rPr>
                <w:color w:val="475569"/>
                <w:sz w:val="19"/>
              </w:rPr>
              <w:t xml:space="preserve"> Digital Public Infrastructure &amp; Responsible AI</w:t>
            </w:r>
          </w:p>
        </w:tc>
      </w:tr>
      <w:tr w:rsidR="00A661D3" w14:paraId="54D38484" w14:textId="77777777">
        <w:trPr>
          <w:jc w:val="center"/>
        </w:trPr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9F92" w14:textId="73437E02" w:rsidR="00A661D3" w:rsidRDefault="00A661D3">
            <w:pPr>
              <w:spacing w:after="0"/>
            </w:pP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7363" w14:textId="77777777" w:rsidR="00A661D3" w:rsidRDefault="00000000">
            <w:pPr>
              <w:spacing w:after="0"/>
            </w:pPr>
            <w:r>
              <w:rPr>
                <w:b/>
                <w:color w:val="1E293B"/>
                <w:sz w:val="19"/>
              </w:rPr>
              <w:t>Status:</w:t>
            </w:r>
            <w:r>
              <w:rPr>
                <w:color w:val="475569"/>
                <w:sz w:val="19"/>
              </w:rPr>
              <w:t xml:space="preserve"> Completed &amp; Validated Prototype (100% Tests Passed)</w:t>
            </w:r>
          </w:p>
        </w:tc>
      </w:tr>
    </w:tbl>
    <w:p w14:paraId="518F96D7" w14:textId="77777777" w:rsidR="00A661D3" w:rsidRDefault="00A661D3">
      <w:pPr>
        <w:spacing w:after="160"/>
      </w:pPr>
    </w:p>
    <w:p w14:paraId="0C9A9C9C" w14:textId="77777777" w:rsidR="00A661D3" w:rsidRDefault="00000000">
      <w:pPr>
        <w:spacing w:before="320" w:after="120"/>
      </w:pPr>
      <w:r>
        <w:rPr>
          <w:rFonts w:ascii="Arial" w:hAnsi="Arial"/>
          <w:b/>
          <w:color w:val="0F172A"/>
          <w:sz w:val="28"/>
        </w:rPr>
        <w:t>1. Executive Summary</w:t>
      </w:r>
    </w:p>
    <w:p w14:paraId="2276D2BB" w14:textId="77777777" w:rsidR="00A661D3" w:rsidRDefault="00000000">
      <w:pPr>
        <w:spacing w:after="160"/>
      </w:pPr>
      <w:r>
        <w:t>The Sovereign DPI-AI Public Agent is an end-to-end architectural prototype demonstrating how Digital Public Infrastructure (DPI) can be safely enhanced with Small Language Models (SLMs) while enforcing strict data sovereignty, consent-based access, deterministic governance, and NIST AI RMF-inspired safeguards.</w:t>
      </w:r>
      <w:r>
        <w:br/>
      </w:r>
      <w:r>
        <w:br/>
        <w:t xml:space="preserve">Built entirely for local, air-gapped execution on edge devices (using Python 3.11+, Ollama with qwen2.5-coder:7b, SQLite, and 50,000+ local registry records), the prototype operationalizes the core security principle: </w:t>
      </w:r>
      <w:r>
        <w:rPr>
          <w:b/>
          <w:color w:val="1E3A8A"/>
        </w:rPr>
        <w:t xml:space="preserve">"The Model Proposes, The Deterministic Workflow Decides." </w:t>
      </w:r>
      <w:r>
        <w:t>The SLM is strictly restricted to proposing structured JSON action plans and is mathematically and architecturally prohibited from executing code, SQL queries, or unauthorized APIs directly.</w:t>
      </w:r>
    </w:p>
    <w:p w14:paraId="437F2367" w14:textId="77777777" w:rsidR="00A661D3" w:rsidRDefault="00000000">
      <w:pPr>
        <w:spacing w:before="320" w:after="120"/>
      </w:pPr>
      <w:r>
        <w:rPr>
          <w:rFonts w:ascii="Arial" w:hAnsi="Arial"/>
          <w:b/>
          <w:color w:val="0F172A"/>
          <w:sz w:val="28"/>
        </w:rPr>
        <w:t>2. Interactive Public Agent Web Interface</w:t>
      </w:r>
    </w:p>
    <w:p w14:paraId="7F7E0D97" w14:textId="77777777" w:rsidR="00A661D3" w:rsidRDefault="00000000">
      <w:pPr>
        <w:spacing w:after="160"/>
      </w:pPr>
      <w:r>
        <w:t>A dedicated local web studio was engineered providing an intuitive interface for citizens, extension officers, and governance auditors. The interface includes real-time step visualization of the 7-stage deterministic pipeline, a one-click scenario testing suite, live searchable audit tables, and a 50,000-record SQLite registry browser.</w:t>
      </w:r>
    </w:p>
    <w:p w14:paraId="21DC5EA1" w14:textId="77777777" w:rsidR="00A661D3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4457EEB" wp14:editId="2922FD20">
            <wp:extent cx="5852160" cy="296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interface_pre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1B3C" w14:textId="77777777" w:rsidR="00A661D3" w:rsidRDefault="00000000">
      <w:pPr>
        <w:spacing w:after="240"/>
        <w:jc w:val="center"/>
      </w:pPr>
      <w:r>
        <w:rPr>
          <w:i/>
          <w:color w:val="64748B"/>
          <w:sz w:val="17"/>
        </w:rPr>
        <w:t>Figure 1: The Sovereign DPI-AI Public Agent Web Studio featuring conversational SLM assistance (left) and real-time 7-stage deterministic DPI governance &amp; safeguard pipeline visualizer (right).</w:t>
      </w:r>
    </w:p>
    <w:p w14:paraId="5D4C90FB" w14:textId="77777777" w:rsidR="00A661D3" w:rsidRDefault="00000000">
      <w:pPr>
        <w:spacing w:before="320" w:after="120"/>
      </w:pPr>
      <w:r>
        <w:rPr>
          <w:rFonts w:ascii="Arial" w:hAnsi="Arial"/>
          <w:b/>
          <w:color w:val="0F172A"/>
          <w:sz w:val="28"/>
        </w:rPr>
        <w:lastRenderedPageBreak/>
        <w:t>3. Conceptual &amp; Regulatory Foundations</w:t>
      </w:r>
    </w:p>
    <w:p w14:paraId="5D62D243" w14:textId="77777777" w:rsidR="00A661D3" w:rsidRDefault="00000000">
      <w:r w:rsidRPr="00954DDF">
        <w:rPr>
          <w:b/>
          <w:bCs/>
        </w:rPr>
        <w:t>1. CDPI DPI-AI Framework 2026 &amp; AI × DPI Policy:</w:t>
      </w:r>
      <w:r>
        <w:t xml:space="preserve"> Implements modular AI Blocks, deterministic DPI Workflows, and the '+1 Approach' to legacy municipal writeback.</w:t>
      </w:r>
      <w:r>
        <w:br/>
      </w:r>
      <w:r w:rsidRPr="00954DDF">
        <w:rPr>
          <w:b/>
          <w:bCs/>
        </w:rPr>
        <w:t>2. India DEPA Framework (Data Empowerment and Protection Architecture):</w:t>
      </w:r>
      <w:r>
        <w:t xml:space="preserve"> Implements a 5-gate deterministic consent engine guarding protected citizen data (Status, Expiry, Granularity, Purpose limitation, and simulated SHA-256 integrity checks).</w:t>
      </w:r>
      <w:r>
        <w:br/>
      </w:r>
      <w:r w:rsidRPr="00954DDF">
        <w:rPr>
          <w:b/>
          <w:bCs/>
        </w:rPr>
        <w:t>3. NIST AI RMF 1.0 (Artificial Intelligence Risk Management Framework):</w:t>
      </w:r>
      <w:r>
        <w:t xml:space="preserve"> Implements core risk functions (GOVERN, MAP, MEASURE, MANAGE) to validate model confidence (0.80 application threshold), detect ambiguity, run prototype bias/risk filters, and generate automated human escalation dossiers.</w:t>
      </w:r>
    </w:p>
    <w:p w14:paraId="0A3BA2B9" w14:textId="33F9EFE5" w:rsidR="00954DDF" w:rsidRPr="00954DDF" w:rsidRDefault="00954DDF" w:rsidP="00954DDF">
      <w:pPr>
        <w:rPr>
          <w:rFonts w:ascii="Arial" w:hAnsi="Arial"/>
          <w:b/>
          <w:color w:val="0F172A"/>
          <w:sz w:val="28"/>
        </w:rPr>
      </w:pPr>
      <w:r>
        <w:rPr>
          <w:rFonts w:ascii="Arial" w:hAnsi="Arial"/>
          <w:b/>
          <w:color w:val="0F172A"/>
          <w:sz w:val="28"/>
        </w:rPr>
        <w:t xml:space="preserve">4. </w:t>
      </w:r>
      <w:r w:rsidRPr="00954DDF">
        <w:rPr>
          <w:rFonts w:ascii="Arial" w:hAnsi="Arial"/>
          <w:b/>
          <w:color w:val="0F172A"/>
          <w:sz w:val="28"/>
        </w:rPr>
        <w:t>System Architecture &amp; Security Boundaries</w:t>
      </w:r>
    </w:p>
    <w:p w14:paraId="6A764AF0" w14:textId="7FF9350B" w:rsidR="00954DDF" w:rsidRDefault="00954DDF">
      <w:r w:rsidRPr="00954DDF">
        <w:drawing>
          <wp:inline distT="0" distB="0" distL="0" distR="0" wp14:anchorId="1674E0FB" wp14:editId="4625EC31">
            <wp:extent cx="6309360" cy="2790190"/>
            <wp:effectExtent l="0" t="0" r="0" b="0"/>
            <wp:docPr id="537011531" name="Picture 1" descr="The diagram illustrates a structured JSON plan for a deterministic workflow engine, including steps for schema validation, identity check, consent verification, routing through a MCP tool, policy engine assessment, and user response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1531" name="Picture 1" descr="The diagram illustrates a structured JSON plan for a deterministic workflow engine, including steps for schema validation, identity check, consent verification, routing through a MCP tool, policy engine assessment, and user response handl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43FE" w14:textId="77777777" w:rsidR="00954DDF" w:rsidRPr="00954DDF" w:rsidRDefault="00954DDF" w:rsidP="00954DDF">
      <w:pPr>
        <w:spacing w:before="320" w:after="120"/>
        <w:rPr>
          <w:rFonts w:ascii="Arial" w:hAnsi="Arial"/>
          <w:b/>
          <w:color w:val="0F172A"/>
          <w:sz w:val="28"/>
        </w:rPr>
      </w:pPr>
      <w:r w:rsidRPr="00954DDF">
        <w:rPr>
          <w:rFonts w:ascii="Arial" w:hAnsi="Arial"/>
          <w:b/>
          <w:color w:val="0F172A"/>
          <w:sz w:val="28"/>
        </w:rPr>
        <w:t>Key Engineering Safeguards:</w:t>
      </w:r>
    </w:p>
    <w:p w14:paraId="026F4098" w14:textId="77777777" w:rsidR="00954DDF" w:rsidRPr="00954DDF" w:rsidRDefault="00954DDF" w:rsidP="00954DDF">
      <w:pPr>
        <w:spacing w:before="320" w:after="120"/>
      </w:pPr>
      <w:r w:rsidRPr="00954DDF">
        <w:rPr>
          <w:b/>
          <w:bCs/>
        </w:rPr>
        <w:t>No Arbitrary Execution:</w:t>
      </w:r>
      <w:r w:rsidRPr="00954DDF">
        <w:t xml:space="preserve"> Zero arbitrary code execution; all AI Blocks are pre-defined, typed, and isolated.</w:t>
      </w:r>
    </w:p>
    <w:p w14:paraId="7F8CCBB2" w14:textId="77777777" w:rsidR="00954DDF" w:rsidRDefault="00954DDF" w:rsidP="00954DDF">
      <w:pPr>
        <w:spacing w:before="320" w:after="120"/>
      </w:pPr>
      <w:r w:rsidRPr="00954DDF">
        <w:rPr>
          <w:b/>
          <w:bCs/>
        </w:rPr>
        <w:t>Privacy by Design:</w:t>
      </w:r>
      <w:r w:rsidRPr="00954DDF">
        <w:t xml:space="preserve"> Phone numbers and sensitive identifiers are masked; raw protected datasets (credit/land) are inaccessible without explicit, active, granular consent.</w:t>
      </w:r>
    </w:p>
    <w:p w14:paraId="334AD0F9" w14:textId="263FFAFF" w:rsidR="00954DDF" w:rsidRPr="00954DDF" w:rsidRDefault="00954DDF" w:rsidP="00954DDF">
      <w:pPr>
        <w:spacing w:before="320" w:after="120"/>
      </w:pPr>
      <w:r w:rsidRPr="00954DDF">
        <w:rPr>
          <w:b/>
          <w:bCs/>
        </w:rPr>
        <w:t>Full Auditability:</w:t>
      </w:r>
      <w:r w:rsidRPr="00954DDF">
        <w:t xml:space="preserve"> Every consent evaluation, workflow transition, and human escalation creates an immutable, timestamped JSONL audit log.</w:t>
      </w:r>
    </w:p>
    <w:p w14:paraId="33292F74" w14:textId="08E10057" w:rsidR="00A661D3" w:rsidRDefault="00954DDF">
      <w:pPr>
        <w:spacing w:before="320" w:after="120"/>
      </w:pPr>
      <w:r>
        <w:rPr>
          <w:rFonts w:ascii="Arial" w:hAnsi="Arial"/>
          <w:b/>
          <w:color w:val="0F172A"/>
          <w:sz w:val="28"/>
        </w:rPr>
        <w:t>5</w:t>
      </w:r>
      <w:r w:rsidR="00000000">
        <w:rPr>
          <w:rFonts w:ascii="Arial" w:hAnsi="Arial"/>
          <w:b/>
          <w:color w:val="0F172A"/>
          <w:sz w:val="28"/>
        </w:rPr>
        <w:t>. System Architecture &amp; Security Boundaries</w:t>
      </w:r>
    </w:p>
    <w:p w14:paraId="4E0E4A2F" w14:textId="77777777" w:rsidR="00A661D3" w:rsidRDefault="00000000">
      <w:pPr>
        <w:spacing w:after="160"/>
      </w:pPr>
      <w:r>
        <w:t>The architecture establishes clear security boundaries dividing probabilistic reasoning from deterministic policy authorization:</w:t>
      </w:r>
    </w:p>
    <w:p w14:paraId="1540CD23" w14:textId="77777777" w:rsidR="00A661D3" w:rsidRDefault="00000000">
      <w:pPr>
        <w:pStyle w:val="ListBullet"/>
        <w:spacing w:after="60"/>
      </w:pPr>
      <w:r>
        <w:rPr>
          <w:b/>
          <w:color w:val="1E293B"/>
        </w:rPr>
        <w:t xml:space="preserve">No Arbitrary Code/SQL Execution: </w:t>
      </w:r>
      <w:r>
        <w:t>The SLM cannot run arbitrary commands. All callable services (AI Blocks) are strongly typed, allowlisted, and isolated.</w:t>
      </w:r>
    </w:p>
    <w:p w14:paraId="720A65F1" w14:textId="77777777" w:rsidR="00A661D3" w:rsidRDefault="00000000">
      <w:pPr>
        <w:pStyle w:val="ListBullet"/>
        <w:spacing w:after="60"/>
      </w:pPr>
      <w:r>
        <w:rPr>
          <w:b/>
          <w:color w:val="1E293B"/>
        </w:rPr>
        <w:lastRenderedPageBreak/>
        <w:t xml:space="preserve">Privacy by Design &amp; PII Masking: </w:t>
      </w:r>
      <w:r>
        <w:t>Phone numbers and identifiers are masked in all outputs; protected financial and land registries are strictly unreachable without active, granular DEPA consent.</w:t>
      </w:r>
    </w:p>
    <w:p w14:paraId="13F5D187" w14:textId="77777777" w:rsidR="00A661D3" w:rsidRDefault="00000000">
      <w:pPr>
        <w:pStyle w:val="ListBullet"/>
        <w:spacing w:after="60"/>
      </w:pPr>
      <w:r>
        <w:rPr>
          <w:b/>
          <w:color w:val="1E293B"/>
        </w:rPr>
        <w:t xml:space="preserve">Immutable Audit Trails: </w:t>
      </w:r>
      <w:r>
        <w:t>Every consent evaluation, workflow state transition, and human escalation creates an immutable, timestamped JSONL record in the audit directory.</w:t>
      </w:r>
    </w:p>
    <w:p w14:paraId="5873EF00" w14:textId="5AADA579" w:rsidR="00A661D3" w:rsidRDefault="00954DDF">
      <w:pPr>
        <w:spacing w:before="320" w:after="120"/>
      </w:pPr>
      <w:r>
        <w:rPr>
          <w:rFonts w:ascii="Arial" w:hAnsi="Arial"/>
          <w:b/>
          <w:color w:val="0F172A"/>
          <w:sz w:val="28"/>
        </w:rPr>
        <w:t>6</w:t>
      </w:r>
      <w:r w:rsidR="00000000">
        <w:rPr>
          <w:rFonts w:ascii="Arial" w:hAnsi="Arial"/>
          <w:b/>
          <w:color w:val="0F172A"/>
          <w:sz w:val="28"/>
        </w:rPr>
        <w:t>. Core Technical Modules &amp;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5328"/>
      </w:tblGrid>
      <w:tr w:rsidR="00A661D3" w14:paraId="5ABAA517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4AD5C" w14:textId="77777777" w:rsidR="00A661D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Module Name</w:t>
            </w:r>
          </w:p>
        </w:tc>
        <w:tc>
          <w:tcPr>
            <w:tcW w:w="187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BA4E0" w14:textId="77777777" w:rsidR="00A661D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532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0E1FF" w14:textId="77777777" w:rsidR="00A661D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Implementation &amp; Governance Details</w:t>
            </w:r>
          </w:p>
        </w:tc>
      </w:tr>
      <w:tr w:rsidR="00A661D3" w14:paraId="431CB17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C38B3" w14:textId="77777777" w:rsidR="00A661D3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Local SLM Client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80098" w14:textId="77777777" w:rsidR="00A661D3" w:rsidRDefault="00000000">
            <w:pPr>
              <w:spacing w:after="0"/>
            </w:pPr>
            <w:r>
              <w:rPr>
                <w:rFonts w:ascii="Consolas" w:hAnsi="Consolas"/>
                <w:color w:val="2563EB"/>
                <w:sz w:val="18"/>
              </w:rPr>
              <w:t>model_client.py</w:t>
            </w:r>
          </w:p>
        </w:tc>
        <w:tc>
          <w:tcPr>
            <w:tcW w:w="53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BB1B1" w14:textId="77777777" w:rsidR="00A661D3" w:rsidRDefault="00000000">
            <w:pPr>
              <w:spacing w:after="0"/>
            </w:pPr>
            <w:r>
              <w:rPr>
                <w:color w:val="475569"/>
                <w:sz w:val="18"/>
              </w:rPr>
              <w:t>Pluggable provider architecture (OllamaProvider, CloudProvider stub, DeterministicProvider). Temperature 0.1 for high determinism and strict structured JSON output contract.</w:t>
            </w:r>
          </w:p>
        </w:tc>
      </w:tr>
      <w:tr w:rsidR="00A661D3" w14:paraId="0B57F07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1C840" w14:textId="77777777" w:rsidR="00A661D3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DEPA Consent Engine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C0FCD" w14:textId="77777777" w:rsidR="00A661D3" w:rsidRDefault="00000000">
            <w:pPr>
              <w:spacing w:after="0"/>
            </w:pPr>
            <w:r>
              <w:rPr>
                <w:rFonts w:ascii="Consolas" w:hAnsi="Consolas"/>
                <w:color w:val="2563EB"/>
                <w:sz w:val="18"/>
              </w:rPr>
              <w:t>depa_consent.py</w:t>
            </w:r>
          </w:p>
        </w:tc>
        <w:tc>
          <w:tcPr>
            <w:tcW w:w="53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6E911" w14:textId="77777777" w:rsidR="00A661D3" w:rsidRDefault="00000000">
            <w:pPr>
              <w:spacing w:after="0"/>
            </w:pPr>
            <w:r>
              <w:rPr>
                <w:color w:val="475569"/>
                <w:sz w:val="18"/>
              </w:rPr>
              <w:t>5-Gate validation: Status (ACTIVE), Expiry (UTC timestamp), Granularity (agri_land:read, mifos_credit:read), Purpose alignment, and SHA-256 integrity check.</w:t>
            </w:r>
          </w:p>
        </w:tc>
      </w:tr>
      <w:tr w:rsidR="00A661D3" w14:paraId="67BA185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1D7E8" w14:textId="77777777" w:rsidR="00A661D3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MCP Tool Router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4B9B9" w14:textId="77777777" w:rsidR="00A661D3" w:rsidRDefault="00000000">
            <w:pPr>
              <w:spacing w:after="0"/>
            </w:pPr>
            <w:r>
              <w:rPr>
                <w:rFonts w:ascii="Consolas" w:hAnsi="Consolas"/>
                <w:color w:val="2563EB"/>
                <w:sz w:val="18"/>
              </w:rPr>
              <w:t>mcp_tools.py</w:t>
            </w:r>
          </w:p>
        </w:tc>
        <w:tc>
          <w:tcPr>
            <w:tcW w:w="53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5AAE7" w14:textId="77777777" w:rsidR="00A661D3" w:rsidRDefault="00000000">
            <w:pPr>
              <w:spacing w:after="0"/>
            </w:pPr>
            <w:r>
              <w:rPr>
                <w:color w:val="475569"/>
                <w:sz w:val="18"/>
              </w:rPr>
              <w:t>Strict schema validation and allowlisting for verify_identity, fetch_land_record, assess_credit_profile, evaluate_subsidy_eligibility, and legacy transaction creation.</w:t>
            </w:r>
          </w:p>
        </w:tc>
      </w:tr>
      <w:tr w:rsidR="00A661D3" w14:paraId="79A34D8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492D3" w14:textId="77777777" w:rsidR="00A661D3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NIST Safeguards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1A4F6" w14:textId="77777777" w:rsidR="00A661D3" w:rsidRDefault="00000000">
            <w:pPr>
              <w:spacing w:after="0"/>
            </w:pPr>
            <w:r>
              <w:rPr>
                <w:rFonts w:ascii="Consolas" w:hAnsi="Consolas"/>
                <w:color w:val="2563EB"/>
                <w:sz w:val="18"/>
              </w:rPr>
              <w:t>nist_safeguards.py</w:t>
            </w:r>
          </w:p>
        </w:tc>
        <w:tc>
          <w:tcPr>
            <w:tcW w:w="53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231F4" w14:textId="77777777" w:rsidR="00A661D3" w:rsidRDefault="00000000">
            <w:pPr>
              <w:spacing w:after="0"/>
            </w:pPr>
            <w:r>
              <w:rPr>
                <w:color w:val="475569"/>
                <w:sz w:val="18"/>
              </w:rPr>
              <w:t>Confidence evaluation against application threshold (0.80), ambiguity detector, high-impact classifier, and prototype risk-indicator filter.</w:t>
            </w:r>
          </w:p>
        </w:tc>
      </w:tr>
      <w:tr w:rsidR="00A661D3" w14:paraId="6B7E6D9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15556" w14:textId="77777777" w:rsidR="00A661D3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+1 Legacy Adapter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3874E" w14:textId="77777777" w:rsidR="00A661D3" w:rsidRDefault="00000000">
            <w:pPr>
              <w:spacing w:after="0"/>
            </w:pPr>
            <w:r>
              <w:rPr>
                <w:rFonts w:ascii="Consolas" w:hAnsi="Consolas"/>
                <w:color w:val="2563EB"/>
                <w:sz w:val="18"/>
              </w:rPr>
              <w:t>legacy_adapter.py</w:t>
            </w:r>
          </w:p>
        </w:tc>
        <w:tc>
          <w:tcPr>
            <w:tcW w:w="532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A849F" w14:textId="77777777" w:rsidR="00A661D3" w:rsidRDefault="00000000">
            <w:pPr>
              <w:spacing w:after="0"/>
            </w:pPr>
            <w:r>
              <w:rPr>
                <w:color w:val="475569"/>
                <w:sz w:val="18"/>
              </w:rPr>
              <w:t>Non-invasive writeback appending to SQLite and separate output CSVs without modifying or disrupting foundational registries.</w:t>
            </w:r>
          </w:p>
        </w:tc>
      </w:tr>
      <w:tr w:rsidR="00A661D3" w14:paraId="7AAD9F8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F7C5F" w14:textId="77777777" w:rsidR="00A661D3" w:rsidRDefault="00000000">
            <w:pPr>
              <w:spacing w:after="0"/>
            </w:pPr>
            <w:r>
              <w:rPr>
                <w:b/>
                <w:color w:val="0F172A"/>
                <w:sz w:val="18"/>
              </w:rPr>
              <w:t>Web &amp; CLI Interfaces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327BF" w14:textId="77777777" w:rsidR="00A661D3" w:rsidRDefault="00000000">
            <w:pPr>
              <w:spacing w:after="0"/>
            </w:pPr>
            <w:r>
              <w:rPr>
                <w:rFonts w:ascii="Consolas" w:hAnsi="Consolas"/>
                <w:color w:val="2563EB"/>
                <w:sz w:val="18"/>
              </w:rPr>
              <w:t>server.py, app.py, web/</w:t>
            </w:r>
          </w:p>
        </w:tc>
        <w:tc>
          <w:tcPr>
            <w:tcW w:w="53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89F21" w14:textId="77777777" w:rsidR="00A661D3" w:rsidRDefault="00000000">
            <w:pPr>
              <w:spacing w:after="0"/>
            </w:pPr>
            <w:r>
              <w:rPr>
                <w:color w:val="475569"/>
                <w:sz w:val="18"/>
              </w:rPr>
              <w:t>Interactive terminal CLI + Modern Glassmorphic Web Dashboard (http://localhost:8000) with real-time 7-stage visualizer and 50k-record registry browser.</w:t>
            </w:r>
          </w:p>
        </w:tc>
      </w:tr>
    </w:tbl>
    <w:p w14:paraId="0E0E7306" w14:textId="1079CCE7" w:rsidR="00A661D3" w:rsidRDefault="00954DDF">
      <w:pPr>
        <w:spacing w:before="320" w:after="120"/>
      </w:pPr>
      <w:r>
        <w:rPr>
          <w:rFonts w:ascii="Arial" w:hAnsi="Arial"/>
          <w:b/>
          <w:color w:val="0F172A"/>
          <w:sz w:val="28"/>
        </w:rPr>
        <w:t>7</w:t>
      </w:r>
      <w:r w:rsidR="00000000">
        <w:rPr>
          <w:rFonts w:ascii="Arial" w:hAnsi="Arial"/>
          <w:b/>
          <w:color w:val="0F172A"/>
          <w:sz w:val="28"/>
        </w:rPr>
        <w:t>. Demonstration Scenarios &amp; Test Verification</w:t>
      </w:r>
    </w:p>
    <w:p w14:paraId="5B5F62E7" w14:textId="77777777" w:rsidR="00A661D3" w:rsidRDefault="00000000">
      <w:r>
        <w:t xml:space="preserve">The system was evaluated against </w:t>
      </w:r>
      <w:r>
        <w:rPr>
          <w:b/>
          <w:color w:val="166534"/>
        </w:rPr>
        <w:t>79 automated unit and integration tests (100% pass rate)</w:t>
      </w:r>
      <w:r>
        <w:t xml:space="preserve"> and demonstrated across three real-world scenarios on 50,000-record datasets:</w:t>
      </w:r>
    </w:p>
    <w:p w14:paraId="75621AD2" w14:textId="77777777" w:rsidR="00A661D3" w:rsidRDefault="00000000">
      <w:pPr>
        <w:pStyle w:val="ListBullet"/>
        <w:spacing w:after="80"/>
      </w:pPr>
      <w:r>
        <w:rPr>
          <w:b/>
        </w:rPr>
        <w:t xml:space="preserve">Scenario A — Solar Pump Subsidy (Approved End-to-End): </w:t>
      </w:r>
      <w:r>
        <w:t>Citizen Suresh Kaur (765-741-434) holds ACTIVE identity and ACTIVE agri consent (CON-100007). Land record confirms 12.8 acres (&gt;= 2.0 ac minimum). NIST confidence passed at 1.0 (&gt;= 0.80 threshold). Legacy transaction TXN-DF7BC44B generated and audited successfully.</w:t>
      </w:r>
    </w:p>
    <w:p w14:paraId="4FABE180" w14:textId="77777777" w:rsidR="00A661D3" w:rsidRDefault="00000000">
      <w:pPr>
        <w:pStyle w:val="ListBullet"/>
        <w:spacing w:after="80"/>
      </w:pPr>
      <w:r>
        <w:rPr>
          <w:b/>
        </w:rPr>
        <w:t xml:space="preserve">Scenario B — Agricultural Credit (DEPA Consent Denial): </w:t>
      </w:r>
      <w:r>
        <w:t>Citizen Anjali Iyer (213-163-577) requests credit assessment, but consent only permits agriculture data. DEPA gate returns DENIED (GRANULAR_PERMISSION_MISSING: mifos_credit). Credit registry is never queried, ensuring zero data leakage.</w:t>
      </w:r>
    </w:p>
    <w:p w14:paraId="0FF6C50B" w14:textId="77777777" w:rsidR="00A661D3" w:rsidRDefault="00000000">
      <w:pPr>
        <w:pStyle w:val="ListBullet"/>
        <w:spacing w:after="80"/>
      </w:pPr>
      <w:r>
        <w:rPr>
          <w:b/>
        </w:rPr>
        <w:t xml:space="preserve">Scenario C — Human Escalation (Safety &amp; Oversight Gate): </w:t>
      </w:r>
      <w:r>
        <w:t>Citizen Suresh Mishra (715-454-455) holds a SUSPENDED identity. Automated processing is immediately halted, and a complete human review dossier (Case ESC-28f4d00f-ebc) is written to audit/escalations_log.jsonl with a transparent notification.</w:t>
      </w:r>
    </w:p>
    <w:p w14:paraId="19346F61" w14:textId="77777777" w:rsidR="00954DDF" w:rsidRDefault="00954DDF" w:rsidP="00954DD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0A5CA8E" w14:textId="77777777" w:rsidR="00954DDF" w:rsidRDefault="00954DDF" w:rsidP="00954DD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78A4FC83" w14:textId="77777777" w:rsidR="00954DDF" w:rsidRDefault="00954DDF" w:rsidP="00954DD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68685DE2" w14:textId="77777777" w:rsidR="00954DDF" w:rsidRDefault="00954DDF" w:rsidP="00954DDF">
      <w:pPr>
        <w:pStyle w:val="ListBullet"/>
        <w:numPr>
          <w:ilvl w:val="0"/>
          <w:numId w:val="0"/>
        </w:numPr>
        <w:spacing w:after="80"/>
        <w:rPr>
          <w:b/>
          <w:bCs/>
          <w:lang w:val="en-IN"/>
        </w:rPr>
      </w:pPr>
    </w:p>
    <w:p w14:paraId="55859CDB" w14:textId="77777777" w:rsidR="00954DDF" w:rsidRDefault="00954DDF" w:rsidP="00954DDF">
      <w:pPr>
        <w:pStyle w:val="ListBullet"/>
        <w:numPr>
          <w:ilvl w:val="0"/>
          <w:numId w:val="0"/>
        </w:numPr>
        <w:spacing w:after="80"/>
        <w:rPr>
          <w:b/>
          <w:bCs/>
          <w:lang w:val="en-IN"/>
        </w:rPr>
      </w:pPr>
    </w:p>
    <w:p w14:paraId="50305542" w14:textId="06E68B96" w:rsidR="00954DDF" w:rsidRPr="00954DDF" w:rsidRDefault="00954DDF" w:rsidP="00954DDF">
      <w:pPr>
        <w:pStyle w:val="ListBullet"/>
        <w:numPr>
          <w:ilvl w:val="0"/>
          <w:numId w:val="0"/>
        </w:numPr>
        <w:spacing w:after="80"/>
        <w:rPr>
          <w:lang w:val="en-IN"/>
        </w:rPr>
      </w:pPr>
      <w:r>
        <w:rPr>
          <w:b/>
          <w:bCs/>
          <w:lang w:val="en-IN"/>
        </w:rPr>
        <w:lastRenderedPageBreak/>
        <w:t xml:space="preserve">8. </w:t>
      </w:r>
      <w:r w:rsidRPr="00954DDF">
        <w:rPr>
          <w:b/>
          <w:bCs/>
          <w:lang w:val="en-IN"/>
        </w:rPr>
        <w:t>Architecture Diagram</w:t>
      </w:r>
    </w:p>
    <w:p w14:paraId="28757433" w14:textId="77777777" w:rsidR="00954DDF" w:rsidRDefault="00954DDF" w:rsidP="00954DDF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60E0E40" w14:textId="5CD17A15" w:rsidR="00A661D3" w:rsidRDefault="00954DDF" w:rsidP="00954DDF">
      <w:pPr>
        <w:pStyle w:val="ListBullet"/>
        <w:numPr>
          <w:ilvl w:val="0"/>
          <w:numId w:val="0"/>
        </w:numPr>
        <w:spacing w:after="60"/>
        <w:ind w:left="360"/>
        <w:jc w:val="center"/>
      </w:pPr>
      <w:r>
        <w:rPr>
          <w:noProof/>
        </w:rPr>
        <w:drawing>
          <wp:inline distT="0" distB="0" distL="0" distR="0" wp14:anchorId="6B455DE7" wp14:editId="28667F6C">
            <wp:extent cx="4413742" cy="7238728"/>
            <wp:effectExtent l="0" t="0" r="6350" b="635"/>
            <wp:docPr id="238947414" name="Picture 1" descr="This image depicts a flowchart illustrating a system with various components such as a user interface, a workflow engine, and various data sources and processes including NIST Risk Gate and Audit Lay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47414" name="Picture 1" descr="This image depicts a flowchart illustrating a system with various components such as a user interface, a workflow engine, and various data sources and processes including NIST Risk Gate and Audit Lay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471" cy="725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1D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711562">
    <w:abstractNumId w:val="8"/>
  </w:num>
  <w:num w:numId="2" w16cid:durableId="197395407">
    <w:abstractNumId w:val="6"/>
  </w:num>
  <w:num w:numId="3" w16cid:durableId="17895653">
    <w:abstractNumId w:val="5"/>
  </w:num>
  <w:num w:numId="4" w16cid:durableId="2010790845">
    <w:abstractNumId w:val="4"/>
  </w:num>
  <w:num w:numId="5" w16cid:durableId="833957230">
    <w:abstractNumId w:val="7"/>
  </w:num>
  <w:num w:numId="6" w16cid:durableId="497770549">
    <w:abstractNumId w:val="3"/>
  </w:num>
  <w:num w:numId="7" w16cid:durableId="1964655768">
    <w:abstractNumId w:val="2"/>
  </w:num>
  <w:num w:numId="8" w16cid:durableId="1765419214">
    <w:abstractNumId w:val="1"/>
  </w:num>
  <w:num w:numId="9" w16cid:durableId="206536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A4B"/>
    <w:rsid w:val="00954DDF"/>
    <w:rsid w:val="00A661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2BCC5"/>
  <w14:defaultImageDpi w14:val="300"/>
  <w15:docId w15:val="{616690C3-1B9E-4EDE-9ADF-CD1050DC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Sharad ~</cp:lastModifiedBy>
  <cp:revision>2</cp:revision>
  <dcterms:created xsi:type="dcterms:W3CDTF">2013-12-23T23:15:00Z</dcterms:created>
  <dcterms:modified xsi:type="dcterms:W3CDTF">2026-08-16T07:28:00Z</dcterms:modified>
  <cp:category/>
</cp:coreProperties>
</file>