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17181C"/>
          <w:sz w:val="56"/>
          <w:szCs w:val="56"/>
        </w:rPr>
        <w:t xml:space="preserve">Planisphere &amp; Gnomon</w:t>
      </w:r>
    </w:p>
    <w:p>
      <w:pPr>
        <w:pBdr>
          <w:bottom w:val="single" w:color="FFD21F" w:sz="16" w:space="6"/>
        </w:pBdr>
        <w:spacing w:after="120"/>
      </w:pPr>
      <w:r>
        <w:rPr>
          <w:color w:val="9A6B00"/>
          <w:sz w:val="28"/>
          <w:szCs w:val="28"/>
        </w:rPr>
        <w:t xml:space="preserve">Color Edition — Printing, Assembly &amp; Usage Guide</w:t>
      </w:r>
    </w:p>
    <w:p>
      <w:pPr>
        <w:spacing w:after="160"/>
      </w:pPr>
      <w:r>
        <w:rPr>
          <w:color w:val="595959"/>
          <w:sz w:val="19"/>
          <w:szCs w:val="19"/>
        </w:rPr>
        <w:t xml:space="preserve">Model file: planisphere_gnomon_color.scad   ·   3 colors   ·   one 250 × 250 mm print bed</w:t>
      </w:r>
    </w:p>
    <w:p>
      <w:pPr>
        <w:pStyle w:val="Heading1"/>
        <w:keepNext/>
        <w:pBdr>
          <w:bottom w:val="single" w:color="FFD21F" w:sz="8" w:space="3"/>
        </w:pBdr>
        <w:spacing w:after="140" w:before="320"/>
      </w:pPr>
      <w:r>
        <w:t xml:space="preserve">1. Overview</w:t>
      </w:r>
    </w:p>
    <w:p>
      <w:pPr>
        <w:spacing w:after="120" w:line="276"/>
      </w:pPr>
      <w:r>
        <w:rPr>
          <w:sz w:val="21"/>
          <w:szCs w:val="21"/>
        </w:rPr>
        <w:t xml:space="preserve">This is a wall-hanging </w:t>
      </w:r>
      <w:r>
        <w:rPr>
          <w:b/>
          <w:bCs/>
          <w:sz w:val="21"/>
          <w:szCs w:val="21"/>
        </w:rPr>
        <w:t xml:space="preserve">star wheel (planisphere)</w:t>
      </w:r>
      <w:r>
        <w:rPr>
          <w:sz w:val="21"/>
          <w:szCs w:val="21"/>
        </w:rPr>
        <w:t xml:space="preserve"> with a fold-up </w:t>
      </w:r>
      <w:r>
        <w:rPr>
          <w:b/>
          <w:bCs/>
          <w:sz w:val="21"/>
          <w:szCs w:val="21"/>
        </w:rPr>
        <w:t xml:space="preserve">sundial gnomon</w:t>
      </w:r>
      <w:r>
        <w:rPr>
          <w:sz w:val="21"/>
          <w:szCs w:val="21"/>
        </w:rPr>
        <w:t xml:space="preserve">. The color edition adds a three-color palette (white, black and yellow) and lays every piece out on a </w:t>
      </w:r>
      <w:r>
        <w:rPr>
          <w:b/>
          <w:bCs/>
          <w:sz w:val="21"/>
          <w:szCs w:val="21"/>
        </w:rPr>
        <w:t xml:space="preserve">single 250 × 250 mm print bed</w:t>
      </w:r>
      <w:r>
        <w:rPr>
          <w:sz w:val="21"/>
          <w:szCs w:val="21"/>
        </w:rPr>
        <w:t xml:space="preserve">, so one print job gives you the whole kit. You can print it as a multi-color job (three filaments, for example on an AMS) or in a single color.</w:t>
      </w:r>
    </w:p>
    <w:p>
      <w:pPr>
        <w:keepNext/>
        <w:spacing w:after="0" w:before="120"/>
        <w:jc w:val="center"/>
      </w:pPr>
      <w:r>
        <w:drawing>
          <wp:inline distT="0" distB="0" distL="0" distR="0">
            <wp:extent cx="4762500" cy="3333750"/>
            <wp:effectExtent t="0" r="0" b="0" l="0"/>
            <wp:docPr id="1" name="Bed layout, perspective view" descr="All five parts laid out on one print bed: white base with yellow rim and black compass ticks, black star disc with yellow accents, yellow gnomon, white hinge pin and yellow pivot pin." title="Bed layout, perspectiv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200" w:before="60"/>
        <w:jc w:val="center"/>
      </w:pPr>
      <w:r>
        <w:rPr>
          <w:i/>
          <w:iCs/>
          <w:color w:val="595959"/>
          <w:sz w:val="18"/>
          <w:szCs w:val="18"/>
        </w:rPr>
        <w:t xml:space="preserve">Figure 1 – Everything on one bed (OpenSCAD preview; the grey plate is the 250 × 250 mm bed outline).</w:t>
      </w:r>
    </w:p>
    <w:p>
      <w:pPr>
        <w:pStyle w:val="Heading1"/>
        <w:keepNext/>
        <w:pBdr>
          <w:bottom w:val="single" w:color="FFD21F" w:sz="8" w:space="3"/>
        </w:pBdr>
        <w:spacing w:after="140" w:before="320"/>
      </w:pPr>
      <w:r>
        <w:t xml:space="preserve">2. Parts and colors</w:t>
      </w:r>
    </w:p>
    <w:p>
      <w:pPr>
        <w:pStyle w:val="Heading2"/>
        <w:keepNext/>
        <w:spacing w:after="80" w:before="200"/>
      </w:pPr>
      <w:r>
        <w:t xml:space="preserve">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4326"/>
        <w:gridCol w:w="2600"/>
      </w:tblGrid>
      <w:tr>
        <w:trPr>
          <w:cantSplit/>
          <w:tblHeader/>
        </w:trPr>
        <w:tc>
          <w:tcPr>
            <w:tcW w:type="dxa" w:w="15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Part</w:t>
            </w:r>
          </w:p>
        </w:tc>
        <w:tc>
          <w:tcPr>
            <w:tcW w:type="dxa" w:w="6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Qty</w:t>
            </w:r>
          </w:p>
        </w:tc>
        <w:tc>
          <w:tcPr>
            <w:tcW w:type="dxa" w:w="43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Colors</w:t>
            </w:r>
          </w:p>
        </w:tc>
        <w:tc>
          <w:tcPr>
            <w:tcW w:type="dxa" w:w="26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Size</w:t>
            </w:r>
          </w:p>
        </w:tc>
      </w:tr>
      <w:tr>
        <w:trPr>
          <w:cantSplit/>
        </w:trPr>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Base</w:t>
            </w:r>
          </w:p>
        </w:tc>
        <w:tc>
          <w:tcPr>
            <w:tcW w:type="dxa" w:w="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1</w:t>
            </w:r>
          </w:p>
        </w:tc>
        <w:tc>
          <w:tcPr>
            <w:tcW w:type="dxa" w:w="43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White body · yellow rim · black degree ticks and S / E / W · yellow N on a black badge</w:t>
            </w:r>
          </w:p>
        </w:tc>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Ø100 × 3 mm (hinge blocks rise to 15 mm)</w:t>
            </w:r>
          </w:p>
        </w:tc>
      </w:tr>
      <w:tr>
        <w:trPr>
          <w:cantSplit/>
        </w:trPr>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Star disc</w:t>
            </w:r>
          </w:p>
        </w:tc>
        <w:tc>
          <w:tcPr>
            <w:tcW w:type="dxa" w:w="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1</w:t>
            </w:r>
          </w:p>
        </w:tc>
        <w:tc>
          <w:tcPr>
            <w:tcW w:type="dxa" w:w="43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Black, with yellow edge ring, yellow star halos and yellow pointer</w:t>
            </w:r>
          </w:p>
        </w:tc>
        <w:tc>
          <w:tcPr>
            <w:tcW w:type="dxa" w:w="2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Ø80 × 2 mm (+0.8 mm pointer)</w:t>
            </w:r>
          </w:p>
        </w:tc>
      </w:tr>
      <w:tr>
        <w:trPr>
          <w:cantSplit/>
        </w:trPr>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Gnomon</w:t>
            </w:r>
          </w:p>
        </w:tc>
        <w:tc>
          <w:tcPr>
            <w:tcW w:type="dxa" w:w="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1</w:t>
            </w:r>
          </w:p>
        </w:tc>
        <w:tc>
          <w:tcPr>
            <w:tcW w:type="dxa" w:w="43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Yellow</w:t>
            </w:r>
          </w:p>
        </w:tc>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43 × 31 × 6 mm triangle</w:t>
            </w:r>
          </w:p>
        </w:tc>
      </w:tr>
      <w:tr>
        <w:trPr>
          <w:cantSplit/>
        </w:trPr>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Hinge pin</w:t>
            </w:r>
          </w:p>
        </w:tc>
        <w:tc>
          <w:tcPr>
            <w:tcW w:type="dxa" w:w="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1</w:t>
            </w:r>
          </w:p>
        </w:tc>
        <w:tc>
          <w:tcPr>
            <w:tcW w:type="dxa" w:w="43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White</w:t>
            </w:r>
          </w:p>
        </w:tc>
        <w:tc>
          <w:tcPr>
            <w:tcW w:type="dxa" w:w="2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Ø3 × 53 mm (or a piece of 3 mm filament)</w:t>
            </w:r>
          </w:p>
        </w:tc>
      </w:tr>
      <w:tr>
        <w:trPr>
          <w:cantSplit/>
        </w:trPr>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Pivot pin</w:t>
            </w:r>
          </w:p>
        </w:tc>
        <w:tc>
          <w:tcPr>
            <w:tcW w:type="dxa" w:w="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1</w:t>
            </w:r>
          </w:p>
        </w:tc>
        <w:tc>
          <w:tcPr>
            <w:tcW w:type="dxa" w:w="43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Yellow</w:t>
            </w:r>
          </w:p>
        </w:tc>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Ø4.8 mm shaft, Ø9 mm head</w:t>
            </w:r>
          </w:p>
        </w:tc>
      </w:tr>
    </w:tbl>
    <w:p>
      <w:pPr>
        <w:spacing w:after="100"/>
      </w:pPr>
    </w:p>
    <w:p>
      <w:pPr>
        <w:pStyle w:val="Heading2"/>
        <w:keepNext/>
        <w:spacing w:after="80" w:before="200"/>
      </w:pPr>
      <w:r>
        <w:t xml:space="preserve">The three colors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200"/>
        <w:gridCol w:w="6026"/>
      </w:tblGrid>
      <w:tr>
        <w:trPr>
          <w:cantSplit/>
          <w:tblHeader/>
        </w:trPr>
        <w:tc>
          <w:tcPr>
            <w:tcW w:type="dxa" w:w="7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p>
        </w:tc>
        <w:tc>
          <w:tcPr>
            <w:tcW w:type="dxa" w:w="11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Name</w:t>
            </w:r>
          </w:p>
        </w:tc>
        <w:tc>
          <w:tcPr>
            <w:tcW w:type="dxa" w:w="12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Hex</w:t>
            </w:r>
          </w:p>
        </w:tc>
        <w:tc>
          <w:tcPr>
            <w:tcW w:type="dxa" w:w="60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Used for</w:t>
            </w:r>
          </w:p>
        </w:tc>
      </w:tr>
      <w:tr>
        <w:trPr>
          <w:cantSplit/>
        </w:trPr>
        <w:tc>
          <w:tcPr>
            <w:tcW w:type="dxa" w:w="700"/>
            <w:tcBorders>
              <w:top w:val="single" w:color="C9C4B5" w:sz="4"/>
              <w:left w:val="single" w:color="C9C4B5" w:sz="4"/>
              <w:bottom w:val="single" w:color="C9C4B5" w:sz="4"/>
              <w:right w:val="single" w:color="C9C4B5" w:sz="4"/>
            </w:tcBorders>
            <w:shd w:fill="F6F6F1" w:color="auto" w:val="clear"/>
            <w:tcMar>
              <w:top w:type="dxa" w:w="40"/>
              <w:left w:type="dxa" w:w="100"/>
              <w:bottom w:type="dxa" w:w="40"/>
              <w:right w:type="dxa" w:w="100"/>
            </w:tcMar>
          </w:tcPr>
          <w:p>
            <w:pPr>
              <w:spacing w:after="40" w:before="40"/>
              <w:jc w:val="left"/>
            </w:pPr>
          </w:p>
        </w:tc>
        <w:tc>
          <w:tcPr>
            <w:tcW w:type="dxa" w:w="11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White</w:t>
            </w:r>
          </w:p>
        </w:tc>
        <w:tc>
          <w:tcPr>
            <w:tcW w:type="dxa" w:w="12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#F6F6F1</w:t>
            </w:r>
          </w:p>
        </w:tc>
        <w:tc>
          <w:tcPr>
            <w:tcW w:type="dxa" w:w="60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Base body and hinge pin. It is also the “starlight” you see through the star holes.</w:t>
            </w:r>
          </w:p>
        </w:tc>
      </w:tr>
      <w:tr>
        <w:trPr>
          <w:cantSplit/>
        </w:trPr>
        <w:tc>
          <w:tcPr>
            <w:tcW w:type="dxa" w:w="7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p>
        </w:tc>
        <w:tc>
          <w:tcPr>
            <w:tcW w:type="dxa" w:w="11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Black</w:t>
            </w:r>
          </w:p>
        </w:tc>
        <w:tc>
          <w:tcPr>
            <w:tcW w:type="dxa" w:w="12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#17181C</w:t>
            </w:r>
          </w:p>
        </w:tc>
        <w:tc>
          <w:tcPr>
            <w:tcW w:type="dxa" w:w="60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Star disc, degree ticks, S / E / W letters and the badge behind the N.</w:t>
            </w:r>
          </w:p>
        </w:tc>
      </w:tr>
      <w:tr>
        <w:trPr>
          <w:cantSplit/>
        </w:trPr>
        <w:tc>
          <w:tcPr>
            <w:tcW w:type="dxa" w:w="700"/>
            <w:tcBorders>
              <w:top w:val="single" w:color="C9C4B5" w:sz="4"/>
              <w:left w:val="single" w:color="C9C4B5" w:sz="4"/>
              <w:bottom w:val="single" w:color="C9C4B5" w:sz="4"/>
              <w:right w:val="single" w:color="C9C4B5" w:sz="4"/>
            </w:tcBorders>
            <w:shd w:fill="FFD21F" w:color="auto" w:val="clear"/>
            <w:tcMar>
              <w:top w:type="dxa" w:w="40"/>
              <w:left w:type="dxa" w:w="100"/>
              <w:bottom w:type="dxa" w:w="40"/>
              <w:right w:type="dxa" w:w="100"/>
            </w:tcMar>
          </w:tcPr>
          <w:p>
            <w:pPr>
              <w:spacing w:after="40" w:before="40"/>
              <w:jc w:val="left"/>
            </w:pPr>
          </w:p>
        </w:tc>
        <w:tc>
          <w:tcPr>
            <w:tcW w:type="dxa" w:w="11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Yellow</w:t>
            </w:r>
          </w:p>
        </w:tc>
        <w:tc>
          <w:tcPr>
            <w:tcW w:type="dxa" w:w="12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#FFD21F</w:t>
            </w:r>
          </w:p>
        </w:tc>
        <w:tc>
          <w:tcPr>
            <w:tcW w:type="dxa" w:w="60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Base rim, disc edge ring, star halos, pointer mark, pivot pin, gnomon and the N letter.</w:t>
            </w:r>
          </w:p>
        </w:tc>
      </w:tr>
    </w:tbl>
    <w:p>
      <w:pPr>
        <w:pBdr>
          <w:left w:val="single" w:color="FFD21F" w:sz="18" w:space="6"/>
        </w:pBdr>
        <w:shd w:fill="FFF6DD" w:color="auto" w:val="clear"/>
        <w:spacing w:after="140" w:before="80" w:line="270"/>
        <w:ind w:left="240" w:right="120"/>
      </w:pPr>
      <w:r>
        <w:rPr>
          <w:b/>
          <w:bCs/>
          <w:color w:val="8A5A00"/>
          <w:sz w:val="20"/>
          <w:szCs w:val="20"/>
        </w:rPr>
        <w:t xml:space="preserve">Tip:  </w:t>
      </w:r>
      <w:r>
        <w:rPr>
          <w:sz w:val="20"/>
          <w:szCs w:val="20"/>
        </w:rPr>
        <w:t xml:space="preserve">The hex values are only suggestions. Any three filaments work as long as </w:t>
      </w:r>
      <w:r>
        <w:rPr>
          <w:b/>
          <w:bCs/>
          <w:sz w:val="20"/>
          <w:szCs w:val="20"/>
        </w:rPr>
        <w:t xml:space="preserve">white and black contrast strongly</w:t>
      </w:r>
      <w:r>
        <w:rPr>
          <w:sz w:val="20"/>
          <w:szCs w:val="20"/>
        </w:rPr>
        <w:t xml:space="preserve">; that pair carries all the small text and ticks. The colors in the SCAD file only affect the on-screen preview. The real colors are assigned in your slicer.</w:t>
      </w:r>
    </w:p>
    <w:p>
      <w:pPr>
        <w:pStyle w:val="Heading1"/>
        <w:keepNext/>
        <w:pBdr>
          <w:bottom w:val="single" w:color="FFD21F" w:sz="8" w:space="3"/>
        </w:pBdr>
        <w:spacing w:after="140" w:before="320"/>
      </w:pPr>
      <w:r>
        <w:t xml:space="preserve">3. Bed layout</w:t>
      </w:r>
    </w:p>
    <w:p>
      <w:pPr>
        <w:spacing w:after="120" w:line="276"/>
      </w:pPr>
      <w:r>
        <w:rPr>
          <w:sz w:val="21"/>
          <w:szCs w:val="21"/>
        </w:rPr>
        <w:t xml:space="preserve">All pieces are positioned relative to the center of the base (the origin). Do not move them: the three color files share the same coordinates so they line up when imported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Piece</w:t>
            </w:r>
          </w:p>
        </w:tc>
        <w:tc>
          <w:tcPr>
            <w:tcW w:type="dxa" w:w="20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Position (x, y) mm</w:t>
            </w:r>
          </w:p>
        </w:tc>
        <w:tc>
          <w:tcPr>
            <w:tcW w:type="dxa" w:w="44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Notes</w:t>
            </w:r>
          </w:p>
        </w:tc>
      </w:tr>
      <w:tr>
        <w:trPr>
          <w:cantSplit/>
        </w:trPr>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Base</w:t>
            </w:r>
          </w:p>
        </w:tc>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(0, 0)</w:t>
            </w:r>
          </w:p>
        </w:tc>
        <w:tc>
          <w:tcPr>
            <w:tcW w:type="dxa" w:w="44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Hinge blocks at the top (north) edge</w:t>
            </w:r>
          </w:p>
        </w:tc>
      </w:tr>
      <w:tr>
        <w:trPr>
          <w:cantSplit/>
        </w:trPr>
        <w:tc>
          <w:tcPr>
            <w:tcW w:type="dxa" w:w="2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Star disc</w:t>
            </w:r>
          </w:p>
        </w:tc>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(100, 0)</w:t>
            </w:r>
          </w:p>
        </w:tc>
        <w:tc>
          <w:tcPr>
            <w:tcW w:type="dxa" w:w="44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Right of the base</w:t>
            </w:r>
          </w:p>
        </w:tc>
      </w:tr>
      <w:tr>
        <w:trPr>
          <w:cantSplit/>
        </w:trPr>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Gnomon</w:t>
            </w:r>
          </w:p>
        </w:tc>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(0, −85)</w:t>
            </w:r>
          </w:p>
        </w:tc>
        <w:tc>
          <w:tcPr>
            <w:tcW w:type="dxa" w:w="44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Below the base</w:t>
            </w:r>
          </w:p>
        </w:tc>
      </w:tr>
      <w:tr>
        <w:trPr>
          <w:cantSplit/>
        </w:trPr>
        <w:tc>
          <w:tcPr>
            <w:tcW w:type="dxa" w:w="26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Hinge pin</w:t>
            </w:r>
          </w:p>
        </w:tc>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(60, −75)</w:t>
            </w:r>
          </w:p>
        </w:tc>
        <w:tc>
          <w:tcPr>
            <w:tcW w:type="dxa" w:w="44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Lies flat on the bed</w:t>
            </w:r>
          </w:p>
        </w:tc>
      </w:tr>
      <w:tr>
        <w:trPr>
          <w:cantSplit/>
        </w:trPr>
        <w:tc>
          <w:tcPr>
            <w:tcW w:type="dxa" w:w="26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Pivot pin</w:t>
            </w:r>
          </w:p>
        </w:tc>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(130, −75)</w:t>
            </w:r>
          </w:p>
        </w:tc>
        <w:tc>
          <w:tcPr>
            <w:tcW w:type="dxa" w:w="44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Head down, no supports needed</w:t>
            </w:r>
          </w:p>
        </w:tc>
      </w:tr>
    </w:tbl>
    <w:p>
      <w:pPr>
        <w:spacing w:after="100"/>
      </w:pPr>
    </w:p>
    <w:p>
      <w:pPr>
        <w:spacing w:after="120" w:line="276"/>
      </w:pPr>
      <w:r>
        <w:rPr>
          <w:b/>
          <w:bCs/>
          <w:sz w:val="21"/>
          <w:szCs w:val="21"/>
        </w:rPr>
        <w:t xml:space="preserve">Overall footprint: 190 × 135 mm</w:t>
      </w:r>
      <w:r>
        <w:rPr>
          <w:sz w:val="21"/>
          <w:szCs w:val="21"/>
        </w:rPr>
        <w:t xml:space="preserve"> (x −50 to 140, y −85 to 50), </w:t>
      </w:r>
      <w:r>
        <w:rPr>
          <w:b/>
          <w:bCs/>
          <w:sz w:val="21"/>
          <w:szCs w:val="21"/>
        </w:rPr>
        <w:t xml:space="preserve">tallest point 15 mm</w:t>
      </w:r>
      <w:r>
        <w:rPr>
          <w:sz w:val="21"/>
          <w:szCs w:val="21"/>
        </w:rPr>
        <w:t xml:space="preserve">. That leaves 60 mm spare in X and 115 mm spare in Y on a 250 × 250 mm bed, plenty of room for a brim or a purge tower.</w:t>
      </w:r>
    </w:p>
    <w:p>
      <w:pPr>
        <w:keepNext/>
        <w:spacing w:after="0" w:before="120"/>
        <w:jc w:val="center"/>
      </w:pPr>
      <w:r>
        <w:drawing>
          <wp:inline distT="0" distB="0" distL="0" distR="0">
            <wp:extent cx="4476750" cy="3019425"/>
            <wp:effectExtent t="0" r="0" b="0" l="0"/>
            <wp:docPr id="1" name="Bed layout, top view" descr="Slightly tilted top view of the layout: base at left, star disc at right, gnomon, hinge pin and pivot pin along the bottom." title="Bed layout,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019425"/>
                    </a:xfrm>
                    <a:prstGeom prst="rect">
                      <a:avLst/>
                    </a:prstGeom>
                  </pic:spPr>
                </pic:pic>
              </a:graphicData>
            </a:graphic>
          </wp:inline>
        </w:drawing>
      </w:r>
    </w:p>
    <w:p>
      <w:pPr>
        <w:spacing w:after="200" w:before="60"/>
        <w:jc w:val="center"/>
      </w:pPr>
      <w:r>
        <w:rPr>
          <w:i/>
          <w:iCs/>
          <w:color w:val="595959"/>
          <w:sz w:val="18"/>
          <w:szCs w:val="18"/>
        </w:rPr>
        <w:t xml:space="preserve">Figure 2 – Layout view (slightly tilted top view).</w:t>
      </w:r>
    </w:p>
    <w:p>
      <w:pPr>
        <w:pStyle w:val="Heading1"/>
        <w:keepNext/>
        <w:pBdr>
          <w:bottom w:val="single" w:color="FFD21F" w:sz="8" w:space="3"/>
        </w:pBdr>
        <w:spacing w:after="140" w:before="320"/>
      </w:pPr>
      <w:r>
        <w:t xml:space="preserve">4. Step 1 – Export one STL per color</w:t>
      </w:r>
    </w:p>
    <w:p>
      <w:pPr>
        <w:spacing w:after="120" w:line="276"/>
      </w:pPr>
      <w:r>
        <w:rPr>
          <w:sz w:val="21"/>
          <w:szCs w:val="21"/>
        </w:rPr>
        <w:t xml:space="preserve">Multi-color printing needs one file per color. The SCAD file does this with a single setting, </w:t>
      </w:r>
      <w:r>
        <w:rPr>
          <w:rFonts w:ascii="Consolas" w:cs="Consolas" w:eastAsia="Consolas" w:hAnsi="Consolas"/>
          <w:color w:val="17181C"/>
          <w:sz w:val="21"/>
          <w:szCs w:val="21"/>
        </w:rPr>
        <w:t xml:space="preserve">part</w:t>
      </w:r>
      <w:r>
        <w:rPr>
          <w:sz w:val="21"/>
          <w:szCs w:val="21"/>
        </w:rPr>
        <w:t xml:space="preserve">.</w:t>
      </w:r>
    </w:p>
    <w:p>
      <w:pPr>
        <w:pStyle w:val="Heading2"/>
        <w:keepNext/>
        <w:spacing w:after="80" w:before="200"/>
      </w:pPr>
      <w:r>
        <w:t xml:space="preserve">Option A – OpenSCAD window</w:t>
      </w:r>
    </w:p>
    <w:p>
      <w:pPr>
        <w:pStyle w:val="ListParagraph"/>
        <w:numPr>
          <w:ilvl w:val="0"/>
          <w:numId w:val="2"/>
        </w:numPr>
        <w:spacing w:after="80" w:line="276"/>
      </w:pPr>
      <w:r>
        <w:rPr>
          <w:sz w:val="21"/>
          <w:szCs w:val="21"/>
        </w:rPr>
        <w:t xml:space="preserve">Open </w:t>
      </w:r>
      <w:r>
        <w:rPr>
          <w:rFonts w:ascii="Consolas" w:cs="Consolas" w:eastAsia="Consolas" w:hAnsi="Consolas"/>
          <w:color w:val="17181C"/>
          <w:sz w:val="21"/>
          <w:szCs w:val="21"/>
        </w:rPr>
        <w:t xml:space="preserve">planisphere_gnomon_color.scad</w:t>
      </w:r>
      <w:r>
        <w:rPr>
          <w:sz w:val="21"/>
          <w:szCs w:val="21"/>
        </w:rPr>
        <w:t xml:space="preserve"> in OpenSCAD (2021.01 or newer). Press </w:t>
      </w:r>
      <w:r>
        <w:rPr>
          <w:b/>
          <w:bCs/>
          <w:sz w:val="21"/>
          <w:szCs w:val="21"/>
        </w:rPr>
        <w:t xml:space="preserve">F5</w:t>
      </w:r>
      <w:r>
        <w:rPr>
          <w:sz w:val="21"/>
          <w:szCs w:val="21"/>
        </w:rPr>
        <w:t xml:space="preserve"> to preview all colors together.</w:t>
      </w:r>
    </w:p>
    <w:p>
      <w:pPr>
        <w:pStyle w:val="ListParagraph"/>
        <w:numPr>
          <w:ilvl w:val="0"/>
          <w:numId w:val="2"/>
        </w:numPr>
        <w:spacing w:after="80" w:line="276"/>
      </w:pPr>
      <w:r>
        <w:rPr>
          <w:sz w:val="21"/>
          <w:szCs w:val="21"/>
        </w:rPr>
        <w:t xml:space="preserve">Near the top of the file change </w:t>
      </w:r>
      <w:r>
        <w:rPr>
          <w:rFonts w:ascii="Consolas" w:cs="Consolas" w:eastAsia="Consolas" w:hAnsi="Consolas"/>
          <w:color w:val="17181C"/>
          <w:sz w:val="21"/>
          <w:szCs w:val="21"/>
        </w:rPr>
        <w:t xml:space="preserve">part = "all";</w:t>
      </w:r>
      <w:r>
        <w:rPr>
          <w:sz w:val="21"/>
          <w:szCs w:val="21"/>
        </w:rPr>
        <w:t xml:space="preserve"> to </w:t>
      </w:r>
      <w:r>
        <w:rPr>
          <w:rFonts w:ascii="Consolas" w:cs="Consolas" w:eastAsia="Consolas" w:hAnsi="Consolas"/>
          <w:color w:val="17181C"/>
          <w:sz w:val="21"/>
          <w:szCs w:val="21"/>
        </w:rPr>
        <w:t xml:space="preserve">part = "white";</w:t>
      </w:r>
      <w:r>
        <w:rPr>
          <w:sz w:val="21"/>
          <w:szCs w:val="21"/>
        </w:rPr>
        <w:t xml:space="preserve">.</w:t>
      </w:r>
    </w:p>
    <w:p>
      <w:pPr>
        <w:pStyle w:val="ListParagraph"/>
        <w:numPr>
          <w:ilvl w:val="0"/>
          <w:numId w:val="2"/>
        </w:numPr>
        <w:spacing w:after="80" w:line="276"/>
      </w:pPr>
      <w:r>
        <w:rPr>
          <w:sz w:val="21"/>
          <w:szCs w:val="21"/>
        </w:rPr>
        <w:t xml:space="preserve">Press </w:t>
      </w:r>
      <w:r>
        <w:rPr>
          <w:b/>
          <w:bCs/>
          <w:sz w:val="21"/>
          <w:szCs w:val="21"/>
        </w:rPr>
        <w:t xml:space="preserve">F6</w:t>
      </w:r>
      <w:r>
        <w:rPr>
          <w:sz w:val="21"/>
          <w:szCs w:val="21"/>
        </w:rPr>
        <w:t xml:space="preserve"> (Render), then </w:t>
      </w:r>
      <w:r>
        <w:rPr>
          <w:b/>
          <w:bCs/>
          <w:sz w:val="21"/>
          <w:szCs w:val="21"/>
        </w:rPr>
        <w:t xml:space="preserve">F7</w:t>
      </w:r>
      <w:r>
        <w:rPr>
          <w:sz w:val="21"/>
          <w:szCs w:val="21"/>
        </w:rPr>
        <w:t xml:space="preserve"> (Export as STL) and save it as </w:t>
      </w:r>
      <w:r>
        <w:rPr>
          <w:rFonts w:ascii="Consolas" w:cs="Consolas" w:eastAsia="Consolas" w:hAnsi="Consolas"/>
          <w:color w:val="17181C"/>
          <w:sz w:val="21"/>
          <w:szCs w:val="21"/>
        </w:rPr>
        <w:t xml:space="preserve">white.stl</w:t>
      </w:r>
      <w:r>
        <w:rPr>
          <w:sz w:val="21"/>
          <w:szCs w:val="21"/>
        </w:rPr>
        <w:t xml:space="preserve">.</w:t>
      </w:r>
    </w:p>
    <w:p>
      <w:pPr>
        <w:pStyle w:val="ListParagraph"/>
        <w:numPr>
          <w:ilvl w:val="0"/>
          <w:numId w:val="2"/>
        </w:numPr>
        <w:spacing w:after="80" w:line="276"/>
      </w:pPr>
      <w:r>
        <w:rPr>
          <w:sz w:val="21"/>
          <w:szCs w:val="21"/>
        </w:rPr>
        <w:t xml:space="preserve">Repeat for </w:t>
      </w:r>
      <w:r>
        <w:rPr>
          <w:rFonts w:ascii="Consolas" w:cs="Consolas" w:eastAsia="Consolas" w:hAnsi="Consolas"/>
          <w:color w:val="17181C"/>
          <w:sz w:val="21"/>
          <w:szCs w:val="21"/>
        </w:rPr>
        <w:t xml:space="preserve">"black"</w:t>
      </w:r>
      <w:r>
        <w:rPr>
          <w:sz w:val="21"/>
          <w:szCs w:val="21"/>
        </w:rPr>
        <w:t xml:space="preserve"> and </w:t>
      </w:r>
      <w:r>
        <w:rPr>
          <w:rFonts w:ascii="Consolas" w:cs="Consolas" w:eastAsia="Consolas" w:hAnsi="Consolas"/>
          <w:color w:val="17181C"/>
          <w:sz w:val="21"/>
          <w:szCs w:val="21"/>
        </w:rPr>
        <w:t xml:space="preserve">"yellow"</w:t>
      </w:r>
      <w:r>
        <w:rPr>
          <w:sz w:val="21"/>
          <w:szCs w:val="21"/>
        </w:rPr>
        <w:t xml:space="preserve">. You end up with three STL files.</w:t>
      </w:r>
    </w:p>
    <w:p>
      <w:pPr>
        <w:pStyle w:val="Heading2"/>
        <w:keepNext/>
        <w:spacing w:after="80" w:before="200"/>
      </w:pPr>
      <w:r>
        <w:t xml:space="preserve">Option B – command line</w:t>
      </w:r>
    </w:p>
    <w:p>
      <w:pPr>
        <w:pBdr>
          <w:left w:val="single" w:color="17181C" w:sz="18" w:space="6"/>
        </w:pBdr>
        <w:shd w:fill="EEF0F4" w:color="auto" w:val="clear"/>
        <w:spacing w:after="0" w:before="0" w:line="252"/>
        <w:ind w:left="240" w:right="120"/>
      </w:pPr>
      <w:r>
        <w:rPr>
          <w:rFonts w:ascii="Consolas" w:cs="Consolas" w:eastAsia="Consolas" w:hAnsi="Consolas"/>
          <w:color w:val="17181C"/>
          <w:sz w:val="18"/>
          <w:szCs w:val="18"/>
        </w:rPr>
        <w:t xml:space="preserve">for c in white black yellow; do</w:t>
      </w:r>
    </w:p>
    <w:p>
      <w:pPr>
        <w:pBdr>
          <w:left w:val="single" w:color="17181C" w:sz="18" w:space="6"/>
        </w:pBdr>
        <w:shd w:fill="EEF0F4" w:color="auto" w:val="clear"/>
        <w:spacing w:after="0" w:before="0" w:line="252"/>
        <w:ind w:left="240" w:right="120"/>
      </w:pPr>
      <w:r>
        <w:rPr>
          <w:rFonts w:ascii="Consolas" w:cs="Consolas" w:eastAsia="Consolas" w:hAnsi="Consolas"/>
          <w:color w:val="17181C"/>
          <w:sz w:val="18"/>
          <w:szCs w:val="18"/>
        </w:rPr>
        <w:t xml:space="preserve">  openscad -o $c.stl -D "part=\"$c\"" planisphere_gnomon_color.scad</w:t>
      </w:r>
    </w:p>
    <w:p>
      <w:pPr>
        <w:pBdr>
          <w:left w:val="single" w:color="17181C" w:sz="18" w:space="6"/>
        </w:pBdr>
        <w:shd w:fill="EEF0F4" w:color="auto" w:val="clear"/>
        <w:spacing w:after="140" w:before="0" w:line="252"/>
        <w:ind w:left="240" w:right="120"/>
      </w:pPr>
      <w:r>
        <w:rPr>
          <w:rFonts w:ascii="Consolas" w:cs="Consolas" w:eastAsia="Consolas" w:hAnsi="Consolas"/>
          <w:color w:val="17181C"/>
          <w:sz w:val="18"/>
          <w:szCs w:val="18"/>
        </w:rPr>
        <w:t xml:space="preserve">done</w:t>
      </w:r>
    </w:p>
    <w:p>
      <w:pPr>
        <w:spacing w:after="120" w:line="276"/>
      </w:pPr>
      <w:r>
        <w:rPr>
          <w:sz w:val="21"/>
          <w:szCs w:val="21"/>
        </w:rPr>
        <w:t xml:space="preserve">On Windows (Command Prompt) run each color separately, for example:</w:t>
      </w:r>
    </w:p>
    <w:p>
      <w:pPr>
        <w:pBdr>
          <w:left w:val="single" w:color="17181C" w:sz="18" w:space="6"/>
        </w:pBdr>
        <w:shd w:fill="EEF0F4" w:color="auto" w:val="clear"/>
        <w:spacing w:after="140" w:before="0" w:line="252"/>
        <w:ind w:left="240" w:right="120"/>
      </w:pPr>
      <w:r>
        <w:rPr>
          <w:rFonts w:ascii="Consolas" w:cs="Consolas" w:eastAsia="Consolas" w:hAnsi="Consolas"/>
          <w:color w:val="17181C"/>
          <w:sz w:val="18"/>
          <w:szCs w:val="18"/>
        </w:rPr>
        <w:t xml:space="preserve">openscad -o white.stl -D "part=\"white\"" planisphere_gnomon_color.scad</w:t>
      </w:r>
    </w:p>
    <w:p>
      <w:pPr>
        <w:pBdr>
          <w:left w:val="single" w:color="FFD21F" w:sz="18" w:space="6"/>
        </w:pBdr>
        <w:shd w:fill="FFF6DD" w:color="auto" w:val="clear"/>
        <w:spacing w:after="140" w:before="80" w:line="270"/>
        <w:ind w:left="240" w:right="120"/>
      </w:pPr>
      <w:r>
        <w:rPr>
          <w:b/>
          <w:bCs/>
          <w:color w:val="8A5A00"/>
          <w:sz w:val="20"/>
          <w:szCs w:val="20"/>
        </w:rPr>
        <w:t xml:space="preserve">Note:  </w:t>
      </w:r>
      <w:r>
        <w:rPr>
          <w:sz w:val="20"/>
          <w:szCs w:val="20"/>
        </w:rPr>
        <w:t xml:space="preserve">The full-quality render takes only a few seconds to under a minute per color. For a faster preview while experimenting, lower </w:t>
      </w:r>
      <w:r>
        <w:rPr>
          <w:rFonts w:ascii="Consolas" w:cs="Consolas" w:eastAsia="Consolas" w:hAnsi="Consolas"/>
          <w:color w:val="17181C"/>
          <w:sz w:val="20"/>
          <w:szCs w:val="20"/>
        </w:rPr>
        <w:t xml:space="preserve">$fn</w:t>
      </w:r>
      <w:r>
        <w:rPr>
          <w:sz w:val="20"/>
          <w:szCs w:val="20"/>
        </w:rPr>
        <w:t xml:space="preserve"> (for example to 64).</w:t>
      </w:r>
    </w:p>
    <w:p>
      <w:pPr>
        <w:pStyle w:val="Heading1"/>
        <w:keepNext/>
        <w:pBdr>
          <w:bottom w:val="single" w:color="FFD21F" w:sz="8" w:space="3"/>
        </w:pBdr>
        <w:spacing w:after="140" w:before="320"/>
      </w:pPr>
      <w:r>
        <w:t xml:space="preserve">5. Step 2 – Slice and print</w:t>
      </w:r>
    </w:p>
    <w:p>
      <w:pPr>
        <w:pStyle w:val="ListParagraph"/>
        <w:numPr>
          <w:ilvl w:val="0"/>
          <w:numId w:val="3"/>
        </w:numPr>
        <w:spacing w:after="80" w:line="276"/>
      </w:pPr>
      <w:r>
        <w:rPr>
          <w:sz w:val="21"/>
          <w:szCs w:val="21"/>
        </w:rPr>
        <w:t xml:space="preserve">Import all three STL files </w:t>
      </w:r>
      <w:r>
        <w:rPr>
          <w:b/>
          <w:bCs/>
          <w:sz w:val="21"/>
          <w:szCs w:val="21"/>
        </w:rPr>
        <w:t xml:space="preserve">at the same time</w:t>
      </w:r>
      <w:r>
        <w:rPr>
          <w:sz w:val="21"/>
          <w:szCs w:val="21"/>
        </w:rPr>
        <w:t xml:space="preserve"> into your slicer (Bambu Studio, OrcaSlicer or PrusaSlicer). When asked, choose </w:t>
      </w:r>
      <w:r>
        <w:rPr>
          <w:b/>
          <w:bCs/>
          <w:sz w:val="21"/>
          <w:szCs w:val="21"/>
        </w:rPr>
        <w:t xml:space="preserve">“Load as a single object with multiple parts”</w:t>
      </w:r>
      <w:r>
        <w:rPr>
          <w:sz w:val="21"/>
          <w:szCs w:val="21"/>
        </w:rPr>
        <w:t xml:space="preserve"> so the colors stay perfectly aligned.</w:t>
      </w:r>
    </w:p>
    <w:p>
      <w:pPr>
        <w:pStyle w:val="ListParagraph"/>
        <w:numPr>
          <w:ilvl w:val="0"/>
          <w:numId w:val="3"/>
        </w:numPr>
        <w:spacing w:after="80" w:line="276"/>
      </w:pPr>
      <w:r>
        <w:rPr>
          <w:sz w:val="21"/>
          <w:szCs w:val="21"/>
        </w:rPr>
        <w:t xml:space="preserve">Assign one filament to each part: white, black and yellow.</w:t>
      </w:r>
    </w:p>
    <w:p>
      <w:pPr>
        <w:pStyle w:val="ListParagraph"/>
        <w:numPr>
          <w:ilvl w:val="0"/>
          <w:numId w:val="3"/>
        </w:numPr>
        <w:spacing w:after="80" w:line="276"/>
      </w:pPr>
      <w:r>
        <w:rPr>
          <w:sz w:val="21"/>
          <w:szCs w:val="21"/>
        </w:rPr>
        <w:t xml:space="preserve">Use the settings below, then slice and print.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Setting</w:t>
            </w:r>
          </w:p>
        </w:tc>
        <w:tc>
          <w:tcPr>
            <w:tcW w:type="dxa" w:w="24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Suggested value</w:t>
            </w:r>
          </w:p>
        </w:tc>
        <w:tc>
          <w:tcPr>
            <w:tcW w:type="dxa" w:w="38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Why</w:t>
            </w:r>
          </w:p>
        </w:tc>
      </w:tr>
      <w:tr>
        <w:trPr>
          <w:cantSplit/>
        </w:trPr>
        <w:tc>
          <w:tcPr>
            <w:tcW w:type="dxa" w:w="28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Nozzle / layer height</w:t>
            </w:r>
          </w:p>
        </w:tc>
        <w:tc>
          <w:tcPr>
            <w:tcW w:type="dxa" w:w="24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0.4 mm / 0.2 mm</w:t>
            </w:r>
          </w:p>
        </w:tc>
        <w:tc>
          <w:tcPr>
            <w:tcW w:type="dxa" w:w="38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Every raised or inlaid detail is a multiple of 0.2 mm: ticks 1.0 mm deep, letters 0.6 mm, yellow accents 0.4 mm, pointer 0.8 mm, N badge 0.6 mm.</w:t>
            </w:r>
          </w:p>
        </w:tc>
      </w:tr>
      <w:tr>
        <w:trPr>
          <w:cantSplit/>
        </w:trPr>
        <w:tc>
          <w:tcPr>
            <w:tcW w:type="dxa" w:w="28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Walls</w:t>
            </w:r>
          </w:p>
        </w:tc>
        <w:tc>
          <w:tcPr>
            <w:tcW w:type="dxa" w:w="24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2–3</w:t>
            </w:r>
          </w:p>
        </w:tc>
        <w:tc>
          <w:tcPr>
            <w:tcW w:type="dxa" w:w="38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Parts are thin; walls carry most of the strength.</w:t>
            </w:r>
          </w:p>
        </w:tc>
      </w:tr>
      <w:tr>
        <w:trPr>
          <w:cantSplit/>
        </w:trPr>
        <w:tc>
          <w:tcPr>
            <w:tcW w:type="dxa" w:w="28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Infill</w:t>
            </w:r>
          </w:p>
        </w:tc>
        <w:tc>
          <w:tcPr>
            <w:tcW w:type="dxa" w:w="24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15–20 %</w:t>
            </w:r>
          </w:p>
        </w:tc>
        <w:tc>
          <w:tcPr>
            <w:tcW w:type="dxa" w:w="38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Only the hinge blocks and gnomon are thick enough to matter.</w:t>
            </w:r>
          </w:p>
        </w:tc>
      </w:tr>
      <w:tr>
        <w:trPr>
          <w:cantSplit/>
        </w:trPr>
        <w:tc>
          <w:tcPr>
            <w:tcW w:type="dxa" w:w="28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Supports</w:t>
            </w:r>
          </w:p>
        </w:tc>
        <w:tc>
          <w:tcPr>
            <w:tcW w:type="dxa" w:w="24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Off</w:t>
            </w:r>
          </w:p>
        </w:tc>
        <w:tc>
          <w:tcPr>
            <w:tcW w:type="dxa" w:w="38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No overhangs to support; the pivot pin is already printed head-down.</w:t>
            </w:r>
          </w:p>
        </w:tc>
      </w:tr>
      <w:tr>
        <w:trPr>
          <w:cantSplit/>
        </w:trPr>
        <w:tc>
          <w:tcPr>
            <w:tcW w:type="dxa" w:w="28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Outer wall speed</w:t>
            </w:r>
          </w:p>
        </w:tc>
        <w:tc>
          <w:tcPr>
            <w:tcW w:type="dxa" w:w="24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40–60 mm/s</w:t>
            </w:r>
          </w:p>
        </w:tc>
        <w:tc>
          <w:tcPr>
            <w:tcW w:type="dxa" w:w="38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Cleaner letters and tick marks.</w:t>
            </w:r>
          </w:p>
        </w:tc>
      </w:tr>
      <w:tr>
        <w:trPr>
          <w:cantSplit/>
        </w:trPr>
        <w:tc>
          <w:tcPr>
            <w:tcW w:type="dxa" w:w="28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Brim</w:t>
            </w:r>
          </w:p>
        </w:tc>
        <w:tc>
          <w:tcPr>
            <w:tcW w:type="dxa" w:w="24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Optional</w:t>
            </w:r>
          </w:p>
        </w:tc>
        <w:tc>
          <w:tcPr>
            <w:tcW w:type="dxa" w:w="38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Helps the thin hinge pin and the small pivot pin stay put.</w:t>
            </w:r>
          </w:p>
        </w:tc>
      </w:tr>
    </w:tbl>
    <w:p>
      <w:pPr>
        <w:spacing w:after="100"/>
      </w:pPr>
    </w:p>
    <w:p>
      <w:pPr>
        <w:pStyle w:val="Heading2"/>
        <w:keepNext/>
        <w:spacing w:after="80" w:before="200"/>
      </w:pPr>
      <w:r>
        <w:t xml:space="preserve">Good to know</w:t>
      </w:r>
    </w:p>
    <w:p>
      <w:pPr>
        <w:pStyle w:val="ListParagraph"/>
        <w:numPr>
          <w:ilvl w:val="0"/>
          <w:numId w:val="4"/>
        </w:numPr>
        <w:spacing w:after="60" w:line="276"/>
      </w:pPr>
      <w:r>
        <w:rPr>
          <w:b/>
          <w:bCs/>
          <w:sz w:val="21"/>
          <w:szCs w:val="21"/>
        </w:rPr>
        <w:t xml:space="preserve">Hinge pin:</w:t>
      </w:r>
      <w:r>
        <w:rPr>
          <w:sz w:val="21"/>
          <w:szCs w:val="21"/>
        </w:rPr>
        <w:t xml:space="preserve"> you can skip printing it and use a 3 mm filament or rod cut to about 53 mm instead.</w:t>
      </w:r>
    </w:p>
    <w:p>
      <w:pPr>
        <w:pStyle w:val="ListParagraph"/>
        <w:numPr>
          <w:ilvl w:val="0"/>
          <w:numId w:val="4"/>
        </w:numPr>
        <w:spacing w:after="60" w:line="276"/>
      </w:pPr>
      <w:r>
        <w:rPr>
          <w:b/>
          <w:bCs/>
          <w:sz w:val="21"/>
          <w:szCs w:val="21"/>
        </w:rPr>
        <w:t xml:space="preserve">Single-color print:</w:t>
      </w:r>
      <w:r>
        <w:rPr>
          <w:sz w:val="21"/>
          <w:szCs w:val="21"/>
        </w:rPr>
        <w:t xml:space="preserve"> set </w:t>
      </w:r>
      <w:r>
        <w:rPr>
          <w:rFonts w:ascii="Consolas" w:cs="Consolas" w:eastAsia="Consolas" w:hAnsi="Consolas"/>
          <w:color w:val="17181C"/>
          <w:sz w:val="21"/>
          <w:szCs w:val="21"/>
        </w:rPr>
        <w:t xml:space="preserve">tick_inlay = false;</w:t>
      </w:r>
      <w:r>
        <w:rPr>
          <w:sz w:val="21"/>
          <w:szCs w:val="21"/>
        </w:rPr>
        <w:t xml:space="preserve"> so the degree ticks stay as engraved grooves, set </w:t>
      </w:r>
      <w:r>
        <w:rPr>
          <w:rFonts w:ascii="Consolas" w:cs="Consolas" w:eastAsia="Consolas" w:hAnsi="Consolas"/>
          <w:color w:val="17181C"/>
          <w:sz w:val="21"/>
          <w:szCs w:val="21"/>
        </w:rPr>
        <w:t xml:space="preserve">part = "all";</w:t>
      </w:r>
      <w:r>
        <w:rPr>
          <w:sz w:val="21"/>
          <w:szCs w:val="21"/>
        </w:rPr>
        <w:t xml:space="preserve"> and export one STL. Letters, rim, halos and pointer remain visible as raised relief (the N badge is a raised disc).</w:t>
      </w:r>
    </w:p>
    <w:p>
      <w:pPr>
        <w:pStyle w:val="ListParagraph"/>
        <w:numPr>
          <w:ilvl w:val="0"/>
          <w:numId w:val="4"/>
        </w:numPr>
        <w:spacing w:after="60" w:line="276"/>
      </w:pPr>
      <w:r>
        <w:rPr>
          <w:b/>
          <w:bCs/>
          <w:sz w:val="21"/>
          <w:szCs w:val="21"/>
        </w:rPr>
        <w:t xml:space="preserve">Expect some purge waste.</w:t>
      </w:r>
      <w:r>
        <w:rPr>
          <w:sz w:val="21"/>
          <w:szCs w:val="21"/>
        </w:rPr>
        <w:t xml:space="preserve"> The pieces share the bed, so the lowest layers use several colors at once. The slicer’s purge tower and flush settings handle this.</w:t>
      </w:r>
    </w:p>
    <w:p>
      <w:pPr>
        <w:pStyle w:val="Heading1"/>
        <w:keepNext/>
        <w:pBdr>
          <w:bottom w:val="single" w:color="FFD21F" w:sz="8" w:space="3"/>
        </w:pBdr>
        <w:spacing w:after="140" w:before="320"/>
      </w:pPr>
      <w:r>
        <w:t xml:space="preserve">6. Step 3 – Assembly</w:t>
      </w:r>
    </w:p>
    <w:p>
      <w:pPr>
        <w:pStyle w:val="ListParagraph"/>
        <w:numPr>
          <w:ilvl w:val="0"/>
          <w:numId w:val="5"/>
        </w:numPr>
        <w:spacing w:after="80" w:line="276"/>
      </w:pPr>
      <w:r>
        <w:rPr>
          <w:b/>
          <w:bCs/>
          <w:sz w:val="21"/>
          <w:szCs w:val="21"/>
        </w:rPr>
        <w:t xml:space="preserve">Clean and test-fit.</w:t>
      </w:r>
      <w:r>
        <w:rPr>
          <w:sz w:val="21"/>
          <w:szCs w:val="21"/>
        </w:rPr>
        <w:t xml:space="preserve"> Remove brim and stringing. The pivot hole is Ø5.3 mm in the base and Ø5.6 mm in the disc for a Ø4.8 mm pin. The hinge holes are Ø3.2 mm for a Ø3.0 mm pin. If anything is tight, ream the hole with a drill bit or sand the pin lightly.</w:t>
      </w:r>
    </w:p>
    <w:p>
      <w:pPr>
        <w:pStyle w:val="ListParagraph"/>
        <w:numPr>
          <w:ilvl w:val="0"/>
          <w:numId w:val="5"/>
        </w:numPr>
        <w:spacing w:after="80" w:line="276"/>
      </w:pPr>
      <w:r>
        <w:rPr>
          <w:b/>
          <w:bCs/>
          <w:sz w:val="21"/>
          <w:szCs w:val="21"/>
        </w:rPr>
        <w:t xml:space="preserve">Pivot.</w:t>
      </w:r>
      <w:r>
        <w:rPr>
          <w:sz w:val="21"/>
          <w:szCs w:val="21"/>
        </w:rPr>
        <w:t xml:space="preserve"> Push the pivot pin up through the base from underneath (head on the underside), then lay the star disc on the base with the yellow ring facing up. The pin tip ends about 0.2 mm above the disc.</w:t>
      </w:r>
    </w:p>
    <w:p>
      <w:pPr>
        <w:pStyle w:val="ListParagraph"/>
        <w:numPr>
          <w:ilvl w:val="0"/>
          <w:numId w:val="5"/>
        </w:numPr>
        <w:spacing w:after="80" w:line="276"/>
      </w:pPr>
      <w:r>
        <w:rPr>
          <w:b/>
          <w:bCs/>
          <w:sz w:val="21"/>
          <w:szCs w:val="21"/>
        </w:rPr>
        <w:t xml:space="preserve">Keep the disc on (optional).</w:t>
      </w:r>
      <w:r>
        <w:rPr>
          <w:sz w:val="21"/>
          <w:szCs w:val="21"/>
        </w:rPr>
        <w:t xml:space="preserve"> Put a tiny drop of cyanoacrylate glue on the pin tip only, so it forms a small cap. Keep glue off the disc so it can still spin.</w:t>
      </w:r>
    </w:p>
    <w:p>
      <w:pPr>
        <w:pStyle w:val="ListParagraph"/>
        <w:numPr>
          <w:ilvl w:val="0"/>
          <w:numId w:val="5"/>
        </w:numPr>
        <w:spacing w:after="80" w:line="276"/>
      </w:pPr>
      <w:r>
        <w:rPr>
          <w:b/>
          <w:bCs/>
          <w:sz w:val="21"/>
          <w:szCs w:val="21"/>
        </w:rPr>
        <w:t xml:space="preserve">Hinge.</w:t>
      </w:r>
      <w:r>
        <w:rPr>
          <w:sz w:val="21"/>
          <w:szCs w:val="21"/>
        </w:rPr>
        <w:t xml:space="preserve"> Place the gnomon between the two hinge blocks (the gnomon is 43 mm wide and the gap is 44 mm), line up the holes and slide the hinge pin through all three parts.</w:t>
      </w:r>
    </w:p>
    <w:p>
      <w:pPr>
        <w:pStyle w:val="ListParagraph"/>
        <w:numPr>
          <w:ilvl w:val="0"/>
          <w:numId w:val="5"/>
        </w:numPr>
        <w:spacing w:after="80" w:line="276"/>
      </w:pPr>
      <w:r>
        <w:rPr>
          <w:b/>
          <w:bCs/>
          <w:sz w:val="21"/>
          <w:szCs w:val="21"/>
        </w:rPr>
        <w:t xml:space="preserve">Hang.</w:t>
      </w:r>
      <w:r>
        <w:rPr>
          <w:sz w:val="21"/>
          <w:szCs w:val="21"/>
        </w:rPr>
        <w:t xml:space="preserve"> Thread a cord or ribbon through the Ø6 mm hang hole, located between the S and E marks.</w:t>
      </w:r>
    </w:p>
    <w:p>
      <w:pPr>
        <w:pStyle w:val="Heading1"/>
        <w:keepNext/>
        <w:pBdr>
          <w:bottom w:val="single" w:color="FFD21F" w:sz="8" w:space="3"/>
        </w:pBdr>
        <w:spacing w:after="140" w:before="320"/>
      </w:pPr>
      <w:r>
        <w:t xml:space="preserve">7. Step 4 – Using it</w:t>
      </w:r>
    </w:p>
    <w:p>
      <w:pPr>
        <w:pStyle w:val="ListParagraph"/>
        <w:numPr>
          <w:ilvl w:val="0"/>
          <w:numId w:val="4"/>
        </w:numPr>
        <w:spacing w:after="60" w:line="276"/>
      </w:pPr>
      <w:r>
        <w:rPr>
          <w:b/>
          <w:bCs/>
          <w:sz w:val="21"/>
          <w:szCs w:val="21"/>
        </w:rPr>
        <w:t xml:space="preserve">Find north.</w:t>
      </w:r>
      <w:r>
        <w:rPr>
          <w:sz w:val="21"/>
          <w:szCs w:val="21"/>
        </w:rPr>
        <w:t xml:space="preserve"> Lay the base flat and turn it until the </w:t>
      </w:r>
      <w:r>
        <w:rPr>
          <w:b/>
          <w:bCs/>
          <w:sz w:val="21"/>
          <w:szCs w:val="21"/>
        </w:rPr>
        <w:t xml:space="preserve">N</w:t>
      </w:r>
      <w:r>
        <w:rPr>
          <w:sz w:val="21"/>
          <w:szCs w:val="21"/>
        </w:rPr>
        <w:t xml:space="preserve"> badge points to true north (a phone compass or a known landmark works).</w:t>
      </w:r>
    </w:p>
    <w:p>
      <w:pPr>
        <w:pStyle w:val="ListParagraph"/>
        <w:numPr>
          <w:ilvl w:val="0"/>
          <w:numId w:val="4"/>
        </w:numPr>
        <w:spacing w:after="60" w:line="276"/>
      </w:pPr>
      <w:r>
        <w:rPr>
          <w:b/>
          <w:bCs/>
          <w:sz w:val="21"/>
          <w:szCs w:val="21"/>
        </w:rPr>
        <w:t xml:space="preserve">Turn the star disc</w:t>
      </w:r>
      <w:r>
        <w:rPr>
          <w:sz w:val="21"/>
          <w:szCs w:val="21"/>
        </w:rPr>
        <w:t xml:space="preserve"> by the 12 grip notches around its edge. The yellow pointer on the disc reads against the 5° tick ring on the base; the letters N, E, S, W mark the cardinal directions.</w:t>
      </w:r>
    </w:p>
    <w:p>
      <w:pPr>
        <w:pStyle w:val="ListParagraph"/>
        <w:numPr>
          <w:ilvl w:val="0"/>
          <w:numId w:val="4"/>
        </w:numPr>
        <w:spacing w:after="60" w:line="276"/>
      </w:pPr>
      <w:r>
        <w:rPr>
          <w:b/>
          <w:bCs/>
          <w:sz w:val="21"/>
          <w:szCs w:val="21"/>
        </w:rPr>
        <w:t xml:space="preserve">See the stars.</w:t>
      </w:r>
      <w:r>
        <w:rPr>
          <w:sz w:val="21"/>
          <w:szCs w:val="21"/>
        </w:rPr>
        <w:t xml:space="preserve"> Hold the disc up to a lamp or the sky. The two star groups (a 7-star line and a 5-star cluster) shine through the 1.5 mm holes.</w:t>
      </w:r>
    </w:p>
    <w:p>
      <w:pPr>
        <w:pStyle w:val="ListParagraph"/>
        <w:numPr>
          <w:ilvl w:val="0"/>
          <w:numId w:val="4"/>
        </w:numPr>
        <w:spacing w:after="60" w:line="276"/>
      </w:pPr>
      <w:r>
        <w:rPr>
          <w:b/>
          <w:bCs/>
          <w:sz w:val="21"/>
          <w:szCs w:val="21"/>
        </w:rPr>
        <w:t xml:space="preserve">Sundial.</w:t>
      </w:r>
      <w:r>
        <w:rPr>
          <w:sz w:val="21"/>
          <w:szCs w:val="21"/>
        </w:rPr>
        <w:t xml:space="preserve"> Swing the gnomon up on its hinge. Fold it flat over the disc for storage; the hinge sits 12 mm above the base so the folded gnomon clears the disc.</w:t>
      </w:r>
    </w:p>
    <w:p>
      <w:pPr>
        <w:pStyle w:val="ListParagraph"/>
        <w:numPr>
          <w:ilvl w:val="0"/>
          <w:numId w:val="4"/>
        </w:numPr>
        <w:spacing w:after="60" w:line="276"/>
      </w:pPr>
      <w:r>
        <w:rPr>
          <w:b/>
          <w:bCs/>
          <w:sz w:val="21"/>
          <w:szCs w:val="21"/>
        </w:rPr>
        <w:t xml:space="preserve">Your latitude.</w:t>
      </w:r>
      <w:r>
        <w:rPr>
          <w:sz w:val="21"/>
          <w:szCs w:val="21"/>
        </w:rPr>
        <w:t xml:space="preserve"> The gnomon’s 43 : 31 slope matches about 36° N. For another latitude, edit </w:t>
      </w:r>
      <w:r>
        <w:rPr>
          <w:rFonts w:ascii="Consolas" w:cs="Consolas" w:eastAsia="Consolas" w:hAnsi="Consolas"/>
          <w:color w:val="17181C"/>
          <w:sz w:val="21"/>
          <w:szCs w:val="21"/>
        </w:rPr>
        <w:t xml:space="preserve">g_h</w:t>
      </w:r>
      <w:r>
        <w:rPr>
          <w:sz w:val="21"/>
          <w:szCs w:val="21"/>
        </w:rPr>
        <w:t xml:space="preserve"> in the SCAD file using </w:t>
      </w:r>
      <w:r>
        <w:rPr>
          <w:rFonts w:ascii="Consolas" w:cs="Consolas" w:eastAsia="Consolas" w:hAnsi="Consolas"/>
          <w:color w:val="17181C"/>
          <w:sz w:val="21"/>
          <w:szCs w:val="21"/>
        </w:rPr>
        <w:t xml:space="preserve">g_h = 43 * tan(latitude)</w:t>
      </w:r>
      <w:r>
        <w:rPr>
          <w:sz w:val="21"/>
          <w:szCs w:val="21"/>
        </w:rPr>
        <w:t xml:space="preserve"> (30° → 24.8 mm, 45° → 43.0 mm), then re-export the yellow part.</w:t>
      </w:r>
    </w:p>
    <w:p>
      <w:pPr>
        <w:pBdr>
          <w:left w:val="single" w:color="FFD21F" w:sz="18" w:space="6"/>
        </w:pBdr>
        <w:shd w:fill="FFF6DD" w:color="auto" w:val="clear"/>
        <w:spacing w:after="140" w:before="80" w:line="270"/>
        <w:ind w:left="240" w:right="120"/>
      </w:pPr>
      <w:r>
        <w:rPr>
          <w:b/>
          <w:bCs/>
          <w:color w:val="8A5A00"/>
          <w:sz w:val="20"/>
          <w:szCs w:val="20"/>
        </w:rPr>
        <w:t xml:space="preserve">Note:  </w:t>
      </w:r>
      <w:r>
        <w:rPr>
          <w:sz w:val="20"/>
          <w:szCs w:val="20"/>
        </w:rPr>
        <w:t xml:space="preserve">This is a decorative and educational model, not a precision timekeeping or navigation instrument.</w:t>
      </w:r>
    </w:p>
    <w:p>
      <w:pPr>
        <w:pStyle w:val="Heading1"/>
        <w:keepNext/>
        <w:pBdr>
          <w:bottom w:val="single" w:color="FFD21F" w:sz="8" w:space="3"/>
        </w:pBdr>
        <w:spacing w:after="140" w:before="320"/>
      </w:pPr>
      <w:r>
        <w:t xml:space="preserve">8. Customizing</w:t>
      </w:r>
    </w:p>
    <w:p>
      <w:pPr>
        <w:spacing w:after="120" w:line="276"/>
      </w:pPr>
      <w:r>
        <w:rPr>
          <w:sz w:val="21"/>
          <w:szCs w:val="21"/>
        </w:rPr>
        <w:t xml:space="preserve">These settings sit at the top of </w:t>
      </w:r>
      <w:r>
        <w:rPr>
          <w:rFonts w:ascii="Consolas" w:cs="Consolas" w:eastAsia="Consolas" w:hAnsi="Consolas"/>
          <w:color w:val="17181C"/>
          <w:sz w:val="21"/>
          <w:szCs w:val="21"/>
        </w:rPr>
        <w:t xml:space="preserve">planisphere_gnomon_color.scad</w:t>
      </w:r>
      <w:r>
        <w:rPr>
          <w:sz w:val="21"/>
          <w:szCs w:val="21"/>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rPr>
          <w:cantSplit/>
          <w:tblHeader/>
        </w:trPr>
        <w:tc>
          <w:tcPr>
            <w:tcW w:type="dxa" w:w="20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Setting</w:t>
            </w:r>
          </w:p>
        </w:tc>
        <w:tc>
          <w:tcPr>
            <w:tcW w:type="dxa" w:w="15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Default</w:t>
            </w:r>
          </w:p>
        </w:tc>
        <w:tc>
          <w:tcPr>
            <w:tcW w:type="dxa" w:w="55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What it does</w:t>
            </w:r>
          </w:p>
        </w:tc>
      </w:tr>
      <w:tr>
        <w:trPr>
          <w:cantSplit/>
        </w:trPr>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part</w:t>
            </w:r>
          </w:p>
        </w:tc>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"all"</w:t>
            </w:r>
          </w:p>
        </w:tc>
        <w:tc>
          <w:tcPr>
            <w:tcW w:type="dxa" w:w="55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"all" shows every color for preview. "white", "black" or "yellow" outputs only that color, for STL export.</w:t>
            </w:r>
          </w:p>
        </w:tc>
      </w:tr>
      <w:tr>
        <w:trPr>
          <w:cantSplit/>
        </w:trPr>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tick_inlay</w:t>
            </w:r>
          </w:p>
        </w:tc>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true</w:t>
            </w:r>
          </w:p>
        </w:tc>
        <w:tc>
          <w:tcPr>
            <w:tcW w:type="dxa" w:w="55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Fills the degree ticks with black. Set to false to leave them as grooves (single-color prints).</w:t>
            </w:r>
          </w:p>
        </w:tc>
      </w:tr>
      <w:tr>
        <w:trPr>
          <w:cantSplit/>
        </w:trPr>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star_halo</w:t>
            </w:r>
          </w:p>
        </w:tc>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true</w:t>
            </w:r>
          </w:p>
        </w:tc>
        <w:tc>
          <w:tcPr>
            <w:tcW w:type="dxa" w:w="55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Yellow ring around each star hole on the disc.</w:t>
            </w:r>
          </w:p>
        </w:tc>
      </w:tr>
      <w:tr>
        <w:trPr>
          <w:cantSplit/>
        </w:trPr>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north_badge</w:t>
            </w:r>
          </w:p>
        </w:tc>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true</w:t>
            </w:r>
          </w:p>
        </w:tc>
        <w:tc>
          <w:tcPr>
            <w:tcW w:type="dxa" w:w="55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Black round badge behind the yellow N so it stays readable on the white base.</w:t>
            </w:r>
          </w:p>
        </w:tc>
      </w:tr>
      <w:tr>
        <w:trPr>
          <w:cantSplit/>
        </w:trPr>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show_bed</w:t>
            </w:r>
          </w:p>
        </w:tc>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true</w:t>
            </w:r>
          </w:p>
        </w:tc>
        <w:tc>
          <w:tcPr>
            <w:tcW w:type="dxa" w:w="55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Draws the 250 × 250 mm bed outline in the preview only. It is never exported.</w:t>
            </w:r>
          </w:p>
        </w:tc>
      </w:tr>
      <w:tr>
        <w:trPr>
          <w:cantSplit/>
        </w:trPr>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c_white</w:t>
            </w:r>
            <w:r>
              <w:rPr>
                <w:sz w:val="19"/>
                <w:szCs w:val="19"/>
              </w:rPr>
              <w:t xml:space="preserve">, </w:t>
            </w:r>
            <w:r>
              <w:rPr>
                <w:rFonts w:ascii="Consolas" w:cs="Consolas" w:eastAsia="Consolas" w:hAnsi="Consolas"/>
                <w:sz w:val="19"/>
                <w:szCs w:val="19"/>
              </w:rPr>
              <w:t xml:space="preserve">c_black</w:t>
            </w:r>
            <w:r>
              <w:rPr>
                <w:sz w:val="19"/>
                <w:szCs w:val="19"/>
              </w:rPr>
              <w:t xml:space="preserve">, </w:t>
            </w:r>
            <w:r>
              <w:rPr>
                <w:rFonts w:ascii="Consolas" w:cs="Consolas" w:eastAsia="Consolas" w:hAnsi="Consolas"/>
                <w:sz w:val="19"/>
                <w:szCs w:val="19"/>
              </w:rPr>
              <w:t xml:space="preserve">c_yellow</w:t>
            </w:r>
          </w:p>
        </w:tc>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see Section 2</w:t>
            </w:r>
          </w:p>
        </w:tc>
        <w:tc>
          <w:tcPr>
            <w:tcW w:type="dxa" w:w="55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Preview colors. Change them to try other palettes.</w:t>
            </w:r>
          </w:p>
        </w:tc>
      </w:tr>
      <w:tr>
        <w:trPr>
          <w:cantSplit/>
        </w:trPr>
        <w:tc>
          <w:tcPr>
            <w:tcW w:type="dxa" w:w="2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g_h</w:t>
            </w:r>
          </w:p>
        </w:tc>
        <w:tc>
          <w:tcPr>
            <w:tcW w:type="dxa" w:w="15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31</w:t>
            </w:r>
          </w:p>
        </w:tc>
        <w:tc>
          <w:tcPr>
            <w:tcW w:type="dxa" w:w="55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Gnomon height; sets the slope for your latitude.</w:t>
            </w:r>
          </w:p>
        </w:tc>
      </w:tr>
      <w:tr>
        <w:trPr>
          <w:cantSplit/>
        </w:trPr>
        <w:tc>
          <w:tcPr>
            <w:tcW w:type="dxa" w:w="2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rFonts w:ascii="Consolas" w:cs="Consolas" w:eastAsia="Consolas" w:hAnsi="Consolas"/>
                <w:sz w:val="19"/>
                <w:szCs w:val="19"/>
              </w:rPr>
              <w:t xml:space="preserve">$fn</w:t>
            </w:r>
          </w:p>
        </w:tc>
        <w:tc>
          <w:tcPr>
            <w:tcW w:type="dxa" w:w="15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128</w:t>
            </w:r>
          </w:p>
        </w:tc>
        <w:tc>
          <w:tcPr>
            <w:tcW w:type="dxa" w:w="55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Smoothness of curves. Use 48–64 for quick previews.</w:t>
            </w:r>
          </w:p>
        </w:tc>
      </w:tr>
    </w:tbl>
    <w:p>
      <w:pPr>
        <w:spacing w:after="100"/>
      </w:pPr>
    </w:p>
    <w:p>
      <w:pPr>
        <w:pStyle w:val="Heading2"/>
        <w:keepNext/>
        <w:spacing w:after="80" w:before="200"/>
      </w:pPr>
      <w:r>
        <w:t xml:space="preserve">What changed from v3</w:t>
      </w:r>
    </w:p>
    <w:p>
      <w:pPr>
        <w:pStyle w:val="ListParagraph"/>
        <w:numPr>
          <w:ilvl w:val="0"/>
          <w:numId w:val="4"/>
        </w:numPr>
        <w:spacing w:after="60" w:line="276"/>
      </w:pPr>
      <w:r>
        <w:rPr>
          <w:sz w:val="21"/>
          <w:szCs w:val="21"/>
        </w:rPr>
        <w:t xml:space="preserve">Three-color palette (white, black, yellow) with one-setting export per color.</w:t>
      </w:r>
    </w:p>
    <w:p>
      <w:pPr>
        <w:pStyle w:val="ListParagraph"/>
        <w:numPr>
          <w:ilvl w:val="0"/>
          <w:numId w:val="4"/>
        </w:numPr>
        <w:spacing w:after="60" w:line="276"/>
      </w:pPr>
      <w:r>
        <w:rPr>
          <w:sz w:val="21"/>
          <w:szCs w:val="21"/>
        </w:rPr>
        <w:t xml:space="preserve">Degree ticks are now inlaid in black. The ticks under the N, E, S, W letters, at the hang hole and beside the N badge were removed so nothing overlaps.</w:t>
      </w:r>
    </w:p>
    <w:p>
      <w:pPr>
        <w:pStyle w:val="ListParagraph"/>
        <w:numPr>
          <w:ilvl w:val="0"/>
          <w:numId w:val="4"/>
        </w:numPr>
        <w:spacing w:after="60" w:line="276"/>
      </w:pPr>
      <w:r>
        <w:rPr>
          <w:sz w:val="21"/>
          <w:szCs w:val="21"/>
        </w:rPr>
        <w:t xml:space="preserve">Compass letters use a bold font for sturdier strokes.</w:t>
      </w:r>
    </w:p>
    <w:p>
      <w:pPr>
        <w:pStyle w:val="ListParagraph"/>
        <w:numPr>
          <w:ilvl w:val="0"/>
          <w:numId w:val="4"/>
        </w:numPr>
        <w:spacing w:after="60" w:line="276"/>
      </w:pPr>
      <w:r>
        <w:rPr>
          <w:sz w:val="21"/>
          <w:szCs w:val="21"/>
        </w:rPr>
        <w:t xml:space="preserve">New yellow edge ring and star halos on the disc; the pointer is yellow. The N letter is yellow on a black badge.</w:t>
      </w:r>
    </w:p>
    <w:p>
      <w:pPr>
        <w:pStyle w:val="ListParagraph"/>
        <w:numPr>
          <w:ilvl w:val="0"/>
          <w:numId w:val="4"/>
        </w:numPr>
        <w:spacing w:after="60" w:line="276"/>
      </w:pPr>
      <w:r>
        <w:rPr>
          <w:sz w:val="21"/>
          <w:szCs w:val="21"/>
        </w:rPr>
        <w:t xml:space="preserve">The hinge pin now rests on the bed. In v3 half of it sat below the bed surface, which would have lifted a combined multi-part import off the bed.</w:t>
      </w:r>
    </w:p>
    <w:p>
      <w:pPr>
        <w:pStyle w:val="Heading1"/>
        <w:keepNext/>
        <w:pBdr>
          <w:bottom w:val="single" w:color="FFD21F" w:sz="8" w:space="3"/>
        </w:pBdr>
        <w:spacing w:after="140" w:before="320"/>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Problem</w:t>
            </w:r>
          </w:p>
        </w:tc>
        <w:tc>
          <w:tcPr>
            <w:tcW w:type="dxa" w:w="6026"/>
            <w:tcBorders>
              <w:top w:val="single" w:color="C9C4B5" w:sz="4"/>
              <w:left w:val="single" w:color="C9C4B5" w:sz="4"/>
              <w:bottom w:val="single" w:color="C9C4B5" w:sz="4"/>
              <w:right w:val="single" w:color="C9C4B5" w:sz="4"/>
            </w:tcBorders>
            <w:shd w:fill="17181C" w:color="auto" w:val="clear"/>
            <w:tcMar>
              <w:top w:type="dxa" w:w="40"/>
              <w:left w:type="dxa" w:w="100"/>
              <w:bottom w:type="dxa" w:w="40"/>
              <w:right w:type="dxa" w:w="100"/>
            </w:tcMar>
          </w:tcPr>
          <w:p>
            <w:pPr>
              <w:spacing w:after="40" w:before="40"/>
              <w:jc w:val="left"/>
            </w:pPr>
            <w:r>
              <w:rPr>
                <w:b/>
                <w:bCs/>
                <w:color w:val="FFFFFF"/>
                <w:sz w:val="19"/>
                <w:szCs w:val="19"/>
              </w:rPr>
              <w:t xml:space="preserve">Fix</w:t>
            </w:r>
          </w:p>
        </w:tc>
      </w:tr>
      <w:tr>
        <w:trPr>
          <w:cantSplit/>
        </w:trPr>
        <w:tc>
          <w:tcPr>
            <w:tcW w:type="dxa" w:w="3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Parts are misaligned or floating in the slicer</w:t>
            </w:r>
          </w:p>
        </w:tc>
        <w:tc>
          <w:tcPr>
            <w:tcW w:type="dxa" w:w="60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Import all three STLs together and choose “single object with multiple parts”. Do not auto-orient or re-center the files one by one.</w:t>
            </w:r>
          </w:p>
        </w:tc>
      </w:tr>
      <w:tr>
        <w:trPr>
          <w:cantSplit/>
        </w:trPr>
        <w:tc>
          <w:tcPr>
            <w:tcW w:type="dxa" w:w="3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Letters look thin or the wrong font appears</w:t>
            </w:r>
          </w:p>
        </w:tc>
        <w:tc>
          <w:tcPr>
            <w:tcW w:type="dxa" w:w="60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The letters use Liberation Sans Bold. Install that font, or change the </w:t>
            </w:r>
            <w:r>
              <w:rPr>
                <w:rFonts w:ascii="Consolas" w:cs="Consolas" w:eastAsia="Consolas" w:hAnsi="Consolas"/>
                <w:sz w:val="19"/>
                <w:szCs w:val="19"/>
              </w:rPr>
              <w:t xml:space="preserve">font</w:t>
            </w:r>
            <w:r>
              <w:rPr>
                <w:sz w:val="19"/>
                <w:szCs w:val="19"/>
              </w:rPr>
              <w:t xml:space="preserve"> name in the </w:t>
            </w:r>
            <w:r>
              <w:rPr>
                <w:rFonts w:ascii="Consolas" w:cs="Consolas" w:eastAsia="Consolas" w:hAnsi="Consolas"/>
                <w:sz w:val="19"/>
                <w:szCs w:val="19"/>
              </w:rPr>
              <w:t xml:space="preserve">letter()</w:t>
            </w:r>
            <w:r>
              <w:rPr>
                <w:sz w:val="19"/>
                <w:szCs w:val="19"/>
              </w:rPr>
              <w:t xml:space="preserve"> module.</w:t>
            </w:r>
          </w:p>
        </w:tc>
      </w:tr>
      <w:tr>
        <w:trPr>
          <w:cantSplit/>
        </w:trPr>
        <w:tc>
          <w:tcPr>
            <w:tcW w:type="dxa" w:w="3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Preview shows no colors</w:t>
            </w:r>
          </w:p>
        </w:tc>
        <w:tc>
          <w:tcPr>
            <w:tcW w:type="dxa" w:w="60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Make sure </w:t>
            </w:r>
            <w:r>
              <w:rPr>
                <w:rFonts w:ascii="Consolas" w:cs="Consolas" w:eastAsia="Consolas" w:hAnsi="Consolas"/>
                <w:sz w:val="19"/>
                <w:szCs w:val="19"/>
              </w:rPr>
              <w:t xml:space="preserve">part = "all";</w:t>
            </w:r>
            <w:r>
              <w:rPr>
                <w:sz w:val="19"/>
                <w:szCs w:val="19"/>
              </w:rPr>
              <w:t xml:space="preserve">. Single-color parts are shown in OpenSCAD’s default color.</w:t>
            </w:r>
          </w:p>
        </w:tc>
      </w:tr>
      <w:tr>
        <w:trPr>
          <w:cantSplit/>
        </w:trPr>
        <w:tc>
          <w:tcPr>
            <w:tcW w:type="dxa" w:w="3000"/>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Disc spins stiffly, or pins will not go in</w:t>
            </w:r>
          </w:p>
        </w:tc>
        <w:tc>
          <w:tcPr>
            <w:tcW w:type="dxa" w:w="6026"/>
            <w:tcBorders>
              <w:top w:val="single" w:color="C9C4B5" w:sz="4"/>
              <w:left w:val="single" w:color="C9C4B5" w:sz="4"/>
              <w:bottom w:val="single" w:color="C9C4B5" w:sz="4"/>
              <w:right w:val="single" w:color="C9C4B5" w:sz="4"/>
            </w:tcBorders>
            <w:shd w:fill="FAF8F2" w:color="auto" w:val="clear"/>
            <w:tcMar>
              <w:top w:type="dxa" w:w="40"/>
              <w:left w:type="dxa" w:w="100"/>
              <w:bottom w:type="dxa" w:w="40"/>
              <w:right w:type="dxa" w:w="100"/>
            </w:tcMar>
          </w:tcPr>
          <w:p>
            <w:pPr>
              <w:spacing w:after="40" w:before="40"/>
              <w:jc w:val="left"/>
            </w:pPr>
            <w:r>
              <w:rPr>
                <w:sz w:val="19"/>
                <w:szCs w:val="19"/>
              </w:rPr>
              <w:t xml:space="preserve">Clearances are about 0.25 mm per side (base) and 0.4 mm per side (disc). Ream the holes or sand the pins slightly.</w:t>
            </w:r>
          </w:p>
        </w:tc>
      </w:tr>
      <w:tr>
        <w:trPr>
          <w:cantSplit/>
        </w:trPr>
        <w:tc>
          <w:tcPr>
            <w:tcW w:type="dxa" w:w="3000"/>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Rendering is slow</w:t>
            </w:r>
          </w:p>
        </w:tc>
        <w:tc>
          <w:tcPr>
            <w:tcW w:type="dxa" w:w="6026"/>
            <w:tcBorders>
              <w:top w:val="single" w:color="C9C4B5" w:sz="4"/>
              <w:left w:val="single" w:color="C9C4B5" w:sz="4"/>
              <w:bottom w:val="single" w:color="C9C4B5" w:sz="4"/>
              <w:right w:val="single" w:color="C9C4B5" w:sz="4"/>
            </w:tcBorders>
            <w:tcMar>
              <w:top w:type="dxa" w:w="40"/>
              <w:left w:type="dxa" w:w="100"/>
              <w:bottom w:type="dxa" w:w="40"/>
              <w:right w:type="dxa" w:w="100"/>
            </w:tcMar>
          </w:tcPr>
          <w:p>
            <w:pPr>
              <w:spacing w:after="40" w:before="40"/>
              <w:jc w:val="left"/>
            </w:pPr>
            <w:r>
              <w:rPr>
                <w:sz w:val="19"/>
                <w:szCs w:val="19"/>
              </w:rPr>
              <w:t xml:space="preserve">Lower </w:t>
            </w:r>
            <w:r>
              <w:rPr>
                <w:rFonts w:ascii="Consolas" w:cs="Consolas" w:eastAsia="Consolas" w:hAnsi="Consolas"/>
                <w:sz w:val="19"/>
                <w:szCs w:val="19"/>
              </w:rPr>
              <w:t xml:space="preserve">$fn</w:t>
            </w:r>
            <w:r>
              <w:rPr>
                <w:sz w:val="19"/>
                <w:szCs w:val="19"/>
              </w:rPr>
              <w:t xml:space="preserve"> to 48–64 for previews, and use the full value only for the final export.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21F" w:sz="4" w:space="6"/>
      </w:pBdr>
      <w:tabs>
        <w:tab w:val="right" w:pos="9026"/>
      </w:tabs>
    </w:pPr>
    <w:r>
      <w:rPr>
        <w:color w:val="595959"/>
        <w:sz w:val="16"/>
        <w:szCs w:val="16"/>
      </w:rPr>
      <w:t xml:space="preserve">Printing, Assembly &amp; Usage Guide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Planisphere &amp; Gnomon · Color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FFD21F"/>
      </w:rPr>
    </w:lvl>
  </w:abstractNum>
  <w:abstractNum w:abstractNumId="3" w15:restartNumberingAfterBreak="0">
    <w:multiLevelType w:val="hybridMultilevel"/>
    <w:lvl w:ilvl="0" w15:tentative="1">
      <w:start w:val="1"/>
      <w:numFmt w:val="decimal"/>
      <w:lvlText w:val="%1."/>
      <w:lvlJc w:val="left"/>
      <w:pPr>
        <w:ind w:left="540" w:hanging="360"/>
      </w:pPr>
      <w:rPr>
        <w:b/>
        <w:bCs/>
        <w:color w:val="17181C"/>
      </w:rPr>
    </w:lvl>
  </w:abstractNum>
  <w:abstractNum w:abstractNumId="4" w15:restartNumberingAfterBreak="0">
    <w:multiLevelType w:val="hybridMultilevel"/>
    <w:lvl w:ilvl="0" w15:tentative="1">
      <w:start w:val="1"/>
      <w:numFmt w:val="decimal"/>
      <w:lvlText w:val="%1."/>
      <w:lvlJc w:val="left"/>
      <w:pPr>
        <w:ind w:left="540" w:hanging="360"/>
      </w:pPr>
      <w:rPr>
        <w:b/>
        <w:bCs/>
        <w:color w:val="17181C"/>
      </w:rPr>
    </w:lvl>
  </w:abstractNum>
  <w:abstractNum w:abstractNumId="5" w15:restartNumberingAfterBreak="0">
    <w:multiLevelType w:val="hybridMultilevel"/>
    <w:lvl w:ilvl="0" w15:tentative="1">
      <w:start w:val="1"/>
      <w:numFmt w:val="decimal"/>
      <w:lvlText w:val="%1."/>
      <w:lvlJc w:val="left"/>
      <w:pPr>
        <w:ind w:left="540" w:hanging="360"/>
      </w:pPr>
      <w:rPr>
        <w:b/>
        <w:bCs/>
        <w:color w:val="17181C"/>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7181C"/>
      <w:sz w:val="32"/>
      <w:szCs w:val="32"/>
    </w:rPr>
  </w:style>
  <w:style w:type="paragraph" w:styleId="Heading2">
    <w:name w:val="Heading 2"/>
    <w:basedOn w:val="Normal"/>
    <w:next w:val="Normal"/>
    <w:qFormat/>
    <w:pPr>
      <w:outlineLvl w:val="1"/>
    </w:pPr>
    <w:rPr>
      <w:rFonts w:ascii="Arial" w:cs="Arial" w:eastAsia="Arial" w:hAnsi="Arial"/>
      <w:b/>
      <w:bCs/>
      <w:color w:val="9A6B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a8cb5b16fb5d5d284c4b482c2007e8bf3f09b7.png"/><Relationship Id="rId10" Type="http://schemas.openxmlformats.org/officeDocument/2006/relationships/image" Target="media/2c94657be48bb2d89953c9b46af57cd9bc83cf7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Planisphere &amp; Gnomon – Color Edition Guide</dc:title>
  <dc:creator>Claude Code</dc:creator>
  <cp:lastModifiedBy>Un-named</cp:lastModifiedBy>
  <cp:revision>1</cp:revision>
  <dcterms:created xsi:type="dcterms:W3CDTF">2026-10-07T01:11:48.793Z</dcterms:created>
  <dcterms:modified xsi:type="dcterms:W3CDTF">2026-10-07T01:11:48.794Z</dcterms:modified>
</cp:coreProperties>
</file>

<file path=docProps/custom.xml><?xml version="1.0" encoding="utf-8"?>
<Properties xmlns="http://schemas.openxmlformats.org/officeDocument/2006/custom-properties" xmlns:vt="http://schemas.openxmlformats.org/officeDocument/2006/docPropsVTypes"/>
</file>