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Privacy &amp; Data Protection — Universal Ads</w:t>
      </w:r>
    </w:p>
    <w:p>
      <w:r>
        <w:t>This document describes how the CTV/Linear impression tracker handles personal</w:t>
      </w:r>
    </w:p>
    <w:p>
      <w:r>
        <w:t xml:space="preserve">data for the </w:t>
      </w:r>
      <w:r>
        <w:rPr>
          <w:b/>
        </w:rPr>
        <w:t>Universal Ads (Comcast / NBCUniversal)</w:t>
      </w:r>
      <w:r>
        <w:t xml:space="preserve"> integration.</w:t>
      </w:r>
    </w:p>
    <w:p>
      <w:pPr>
        <w:ind w:left="360"/>
      </w:pPr>
      <w:r>
        <w:rPr>
          <w:i/>
        </w:rPr>
        <w:t xml:space="preserve">Adapted from the Roku </w:t>
      </w:r>
      <w:r>
        <w:rPr>
          <w:rFonts w:ascii="Courier New" w:hAnsi="Courier New"/>
          <w:sz w:val="18"/>
        </w:rPr>
        <w:t>PRIVACY.md</w:t>
      </w:r>
      <w:r>
        <w:t>. The controls are identical; the</w:t>
      </w:r>
    </w:p>
    <w:p>
      <w:pPr>
        <w:ind w:left="360"/>
      </w:pPr>
      <w:r>
        <w:rPr>
          <w:i/>
        </w:rPr>
        <w:t xml:space="preserve">differences are the identifiers involved (device IFA and/or </w:t>
      </w:r>
      <w:r>
        <w:rPr>
          <w:b/>
        </w:rPr>
        <w:t>household ID</w:t>
      </w:r>
      <w:r>
        <w:t>)</w:t>
      </w:r>
    </w:p>
    <w:p>
      <w:pPr>
        <w:ind w:left="360"/>
      </w:pPr>
      <w:r>
        <w:rPr>
          <w:i/>
        </w:rPr>
        <w:t xml:space="preserve">and that the conversion recipient is </w:t>
      </w:r>
      <w:r>
        <w:rPr>
          <w:b/>
        </w:rPr>
        <w:t>Universal Ads</w:t>
      </w:r>
      <w:r>
        <w:t xml:space="preserve"> via its Conversions</w:t>
      </w:r>
    </w:p>
    <w:p>
      <w:pPr>
        <w:ind w:left="360"/>
      </w:pPr>
      <w:r>
        <w:rPr>
          <w:i/>
        </w:rPr>
        <w:t>API.</w:t>
      </w:r>
    </w:p>
    <w:p>
      <w:pPr>
        <w:pStyle w:val="Heading2"/>
      </w:pPr>
      <w:r>
        <w:t>1. What data we handle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At rest?</w:t>
            </w:r>
          </w:p>
        </w:tc>
      </w:tr>
      <w:tr>
        <w:tc>
          <w:tcPr>
            <w:tcW w:type="dxa" w:w="2880"/>
          </w:tcPr>
          <w:p>
            <w:r>
              <w:t>ifa (device advertising ID) — analytics/reporting</w:t>
            </w:r>
          </w:p>
        </w:tc>
        <w:tc>
          <w:tcPr>
            <w:tcW w:type="dxa" w:w="2880"/>
          </w:tcPr>
          <w:p>
            <w:r>
              <w:t>Personal data (online identifier)</w:t>
            </w:r>
          </w:p>
        </w:tc>
        <w:tc>
          <w:tcPr>
            <w:tcW w:type="dxa" w:w="2880"/>
          </w:tcPr>
          <w:p>
            <w:r>
              <w:t>Never stored raw in AE/exports — salted SHA-256 hash only</w:t>
            </w:r>
          </w:p>
        </w:tc>
      </w:tr>
      <w:tr>
        <w:tc>
          <w:tcPr>
            <w:tcW w:type="dxa" w:w="2880"/>
          </w:tcPr>
          <w:p>
            <w:r>
              <w:t>ifa / device IP / household_id — call-matching store</w:t>
            </w:r>
          </w:p>
        </w:tc>
        <w:tc>
          <w:tcPr>
            <w:tcW w:type="dxa" w:w="2880"/>
          </w:tcPr>
          <w:p>
            <w:r>
              <w:t>Personal / pseudonymous</w:t>
            </w:r>
          </w:p>
        </w:tc>
        <w:tc>
          <w:tcPr>
            <w:tcW w:type="dxa" w:w="2880"/>
          </w:tcPr>
          <w:p>
            <w:r>
              <w:t>Raw, window-scoped only (see §2.1); purged after the attribution window</w:t>
            </w:r>
          </w:p>
        </w:tc>
      </w:tr>
      <w:tr>
        <w:tc>
          <w:tcPr>
            <w:tcW w:type="dxa" w:w="2880"/>
          </w:tcPr>
          <w:p>
            <w:r>
              <w:t>Device IP — analytics/reporting</w:t>
            </w:r>
          </w:p>
        </w:tc>
        <w:tc>
          <w:tcPr>
            <w:tcW w:type="dxa" w:w="2880"/>
          </w:tcPr>
          <w:p>
            <w:r>
              <w:t>Personal data</w:t>
            </w:r>
          </w:p>
        </w:tc>
        <w:tc>
          <w:tcPr>
            <w:tcW w:type="dxa" w:w="2880"/>
          </w:tcPr>
          <w:p>
            <w:r>
              <w:t>Not persisted in AE/exports; reduced to country</w:t>
            </w:r>
          </w:p>
        </w:tc>
      </w:tr>
      <w:tr>
        <w:tc>
          <w:tcPr>
            <w:tcW w:type="dxa" w:w="2880"/>
          </w:tcPr>
          <w:p>
            <w:r>
              <w:t>household_id (if provided)</w:t>
            </w:r>
          </w:p>
        </w:tc>
        <w:tc>
          <w:tcPr>
            <w:tcW w:type="dxa" w:w="2880"/>
          </w:tcPr>
          <w:p>
            <w:r>
              <w:t>Pseudonymous ID</w:t>
            </w:r>
          </w:p>
        </w:tc>
        <w:tc>
          <w:tcPr>
            <w:tcW w:type="dxa" w:w="2880"/>
          </w:tcPr>
          <w:p>
            <w:r>
              <w:t>Not persisted in analytics; window-scoped in matching store only</w:t>
            </w:r>
          </w:p>
        </w:tc>
      </w:tr>
      <w:tr>
        <w:tc>
          <w:tcPr>
            <w:tcW w:type="dxa" w:w="2880"/>
          </w:tcPr>
          <w:p>
            <w:r>
              <w:t>country / coarse geo</w:t>
            </w:r>
          </w:p>
        </w:tc>
        <w:tc>
          <w:tcPr>
            <w:tcW w:type="dxa" w:w="2880"/>
          </w:tcPr>
          <w:p>
            <w:r>
              <w:t>Coarse geo (from Cloudflare edge)</w:t>
            </w:r>
          </w:p>
        </w:tc>
        <w:tc>
          <w:tcPr>
            <w:tcW w:type="dxa" w:w="2880"/>
          </w:tcPr>
          <w:p>
            <w:r>
              <w:t>Stored (not identifying on its own)</w:t>
            </w:r>
          </w:p>
        </w:tc>
      </w:tr>
      <w:tr>
        <w:tc>
          <w:tcPr>
            <w:tcW w:type="dxa" w:w="2880"/>
          </w:tcPr>
          <w:p>
            <w:r>
              <w:t>Caller phone (ANI)</w:t>
            </w:r>
          </w:p>
        </w:tc>
        <w:tc>
          <w:tcPr>
            <w:tcW w:type="dxa" w:w="2880"/>
          </w:tcPr>
          <w:p>
            <w:r>
              <w:t>Personal data</w:t>
            </w:r>
          </w:p>
        </w:tc>
        <w:tc>
          <w:tcPr>
            <w:tcW w:type="dxa" w:w="2880"/>
          </w:tcPr>
          <w:p>
            <w:r>
              <w:t>Never stored raw; hashed (SHA-256) only when sent to UA</w:t>
            </w:r>
          </w:p>
        </w:tc>
      </w:tr>
      <w:tr>
        <w:tc>
          <w:tcPr>
            <w:tcW w:type="dxa" w:w="2880"/>
          </w:tcPr>
          <w:p>
            <w:r>
              <w:t>campaign_id, creative_id, advertiser_id, app_id</w:t>
            </w:r>
          </w:p>
        </w:tc>
        <w:tc>
          <w:tcPr>
            <w:tcW w:type="dxa" w:w="2880"/>
          </w:tcPr>
          <w:p>
            <w:r>
              <w:t>Non-personal</w:t>
            </w:r>
          </w:p>
        </w:tc>
        <w:tc>
          <w:tcPr>
            <w:tcW w:type="dxa" w:w="2880"/>
          </w:tcPr>
          <w:p>
            <w:r>
              <w:t>Stored</w:t>
            </w:r>
          </w:p>
        </w:tc>
      </w:tr>
    </w:tbl>
    <w:p/>
    <w:p>
      <w:r>
        <w:t>The IFA is online personal data under GDPR (Art. 4) and a "unique identifier"</w:t>
      </w:r>
    </w:p>
    <w:p>
      <w:r>
        <w:t>under CCPA. There is no "No PII stored" claim — the IFA and household ID are</w:t>
      </w:r>
    </w:p>
    <w:p>
      <w:r>
        <w:t>handled as personal/pseudonymous data with the minimization controls below.</w:t>
      </w:r>
    </w:p>
    <w:p>
      <w:pPr>
        <w:pStyle w:val="Heading2"/>
      </w:pPr>
      <w:r>
        <w:t>2. How we minimize</w:t>
      </w:r>
    </w:p>
    <w:p>
      <w:pPr>
        <w:pStyle w:val="ListBullet"/>
      </w:pPr>
      <w:r>
        <w:rPr>
          <w:b/>
        </w:rPr>
        <w:t>Hashing:</w:t>
      </w:r>
      <w:r>
        <w:t xml:space="preserve"> the IFA is hashed with a rotating server-side salt</w:t>
      </w:r>
    </w:p>
    <w:p>
      <w:r>
        <w:t xml:space="preserve">  (</w:t>
      </w:r>
      <w:r>
        <w:rPr>
          <w:rFonts w:ascii="Courier New" w:hAnsi="Courier New"/>
          <w:sz w:val="18"/>
        </w:rPr>
        <w:t>IFA_HASH_SALT</w:t>
      </w:r>
      <w:r>
        <w:t>) before any storage. The raw value never leaves the request</w:t>
      </w:r>
    </w:p>
    <w:p>
      <w:r>
        <w:t xml:space="preserve">  handler. The hash is used only for deduplication and reach.</w:t>
      </w:r>
    </w:p>
    <w:p>
      <w:pPr>
        <w:pStyle w:val="ListBullet"/>
      </w:pPr>
      <w:r>
        <w:rPr>
          <w:b/>
        </w:rPr>
        <w:t>LMT enforcement:</w:t>
      </w:r>
      <w:r>
        <w:t xml:space="preserve"> when </w:t>
      </w:r>
      <w:r>
        <w:rPr>
          <w:rFonts w:ascii="Courier New" w:hAnsi="Courier New"/>
          <w:sz w:val="18"/>
        </w:rPr>
        <w:t>lmt=1</w:t>
      </w:r>
      <w:r>
        <w:t xml:space="preserve"> (Limit Ad Tracking) or the IFA is zeroed, we</w:t>
      </w:r>
    </w:p>
    <w:p>
      <w:r>
        <w:t xml:space="preserve">  discard the identifier entirely and mark the impression </w:t>
      </w:r>
      <w:r>
        <w:rPr>
          <w:rFonts w:ascii="Courier New" w:hAnsi="Courier New"/>
          <w:sz w:val="18"/>
        </w:rPr>
        <w:t>ifa_present=0</w:t>
      </w:r>
      <w:r>
        <w:t>. Such</w:t>
      </w:r>
    </w:p>
    <w:p>
      <w:r>
        <w:t xml:space="preserve">  impressions count toward totals but are excluded from device-level reach.</w:t>
      </w:r>
    </w:p>
    <w:p>
      <w:pPr>
        <w:pStyle w:val="ListBullet"/>
      </w:pPr>
      <w:r>
        <w:rPr>
          <w:b/>
        </w:rPr>
        <w:t>No IP persistence (analytics):</w:t>
      </w:r>
      <w:r>
        <w:t xml:space="preserve"> for AE/reporting, geolocation is reduced to</w:t>
      </w:r>
    </w:p>
    <w:p>
      <w:r>
        <w:t xml:space="preserve">  a 2-letter country code; the raw IP is never written there.</w:t>
      </w:r>
    </w:p>
    <w:p>
      <w:pPr>
        <w:pStyle w:val="Heading2"/>
      </w:pPr>
      <w:r>
        <w:t>2.1 Call-matching store (raw IP/IFA/household ID, window-scoped)</w:t>
      </w:r>
    </w:p>
    <w:p>
      <w:r>
        <w:t>To attribute phone calls to impressions and send conversions to Universal Ads</w:t>
      </w:r>
    </w:p>
    <w:p>
      <w:r>
        <w:t xml:space="preserve">CAPI (which matches on </w:t>
      </w:r>
      <w:r>
        <w:rPr>
          <w:b/>
        </w:rPr>
        <w:t>unhashed</w:t>
      </w:r>
      <w:r>
        <w:t xml:space="preserve"> IP, IFA, and/or household ID), the</w:t>
      </w:r>
    </w:p>
    <w:p>
      <w:r>
        <w:rPr>
          <w:rFonts w:ascii="Courier New" w:hAnsi="Courier New"/>
          <w:sz w:val="18"/>
        </w:rPr>
        <w:t>RecentImpressions</w:t>
      </w:r>
      <w:r>
        <w:t xml:space="preserve"> Durable Object holds the **raw device IP, raw IFA, and</w:t>
      </w:r>
    </w:p>
    <w:p>
      <w:r>
        <w:t>household ID</w:t>
      </w:r>
      <w:r>
        <w:rPr>
          <w:b/>
        </w:rPr>
        <w:t xml:space="preserve"> — but </w:t>
      </w:r>
      <w:r>
        <w:t>only**:</w:t>
      </w:r>
    </w:p>
    <w:p>
      <w:pPr>
        <w:pStyle w:val="ListBullet"/>
      </w:pPr>
      <w:r>
        <w:t>for the attribution window (</w:t>
      </w:r>
      <w:r>
        <w:rPr>
          <w:rFonts w:ascii="Courier New" w:hAnsi="Courier New"/>
          <w:sz w:val="18"/>
        </w:rPr>
        <w:t>MATCH_WINDOW_MINUTES</w:t>
      </w:r>
      <w:r>
        <w:t>, default 60 min),</w:t>
      </w:r>
    </w:p>
    <w:p>
      <w:pPr>
        <w:pStyle w:val="ListBullet"/>
      </w:pPr>
      <w:r>
        <w:t>scoped per creative,</w:t>
      </w:r>
    </w:p>
    <w:p>
      <w:pPr>
        <w:pStyle w:val="ListBullet"/>
      </w:pPr>
      <w:r>
        <w:t>purged by an alarm once older than the window.</w:t>
      </w:r>
    </w:p>
    <w:p>
      <w:r>
        <w:t xml:space="preserve">LMT/opt-out impressions store </w:t>
      </w:r>
      <w:r>
        <w:rPr>
          <w:b/>
        </w:rPr>
        <w:t>no IFA</w:t>
      </w:r>
      <w:r>
        <w:t xml:space="preserve"> (empty) and are never device-matched;</w:t>
      </w:r>
    </w:p>
    <w:p>
      <w:r>
        <w:t>any resulting conversion is sent with UA's opt-out/LDU flag **[CONFIRM WITH UA —</w:t>
      </w:r>
    </w:p>
    <w:p>
      <w:r>
        <w:t>exact token]</w:t>
      </w:r>
      <w:r>
        <w:rPr>
          <w:b/>
        </w:rPr>
        <w:t xml:space="preserve">. The caller's phone number is </w:t>
      </w:r>
      <w:r>
        <w:t>hashed** (never stored raw) and</w:t>
      </w:r>
    </w:p>
    <w:p>
      <w:r>
        <w:t>used only to satisfy UA's identifier requirement on zero-match conversions.</w:t>
      </w:r>
    </w:p>
    <w:p>
      <w:r>
        <w:t>This is the only component holding raw identifiers at rest, and it is short-lived</w:t>
      </w:r>
    </w:p>
    <w:p>
      <w:r>
        <w:t>by design (storage minimization for the matching purpose).</w:t>
      </w:r>
    </w:p>
    <w:p>
      <w:pPr>
        <w:pStyle w:val="Heading2"/>
      </w:pPr>
      <w:r>
        <w:t>3. Retention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t>RecentImpressions DO</w:t>
            </w:r>
          </w:p>
        </w:tc>
        <w:tc>
          <w:tcPr>
            <w:tcW w:type="dxa" w:w="2880"/>
          </w:tcPr>
          <w:p>
            <w:r>
              <w:t>attribution window (~60 min)</w:t>
            </w:r>
          </w:p>
        </w:tc>
        <w:tc>
          <w:tcPr>
            <w:tcW w:type="dxa" w:w="2880"/>
          </w:tcPr>
          <w:p>
            <w:r>
              <w:t>raw IP/IFA/household ID + geo (call matching only)</w:t>
            </w:r>
          </w:p>
        </w:tc>
      </w:tr>
      <w:tr>
        <w:tc>
          <w:tcPr>
            <w:tcW w:type="dxa" w:w="2880"/>
          </w:tcPr>
          <w:p>
            <w:r>
              <w:t>Analytics Engine</w:t>
            </w:r>
          </w:p>
        </w:tc>
        <w:tc>
          <w:tcPr>
            <w:tcW w:type="dxa" w:w="2880"/>
          </w:tcPr>
          <w:p>
            <w:r>
              <w:t>3 months (platform fixed)</w:t>
            </w:r>
          </w:p>
        </w:tc>
        <w:tc>
          <w:tcPr>
            <w:tcW w:type="dxa" w:w="2880"/>
          </w:tcPr>
          <w:p>
            <w:r>
              <w:t>hashed IFA + dimensions</w:t>
            </w:r>
          </w:p>
        </w:tc>
      </w:tr>
      <w:tr>
        <w:tc>
          <w:tcPr>
            <w:tcW w:type="dxa" w:w="2880"/>
          </w:tcPr>
          <w:p>
            <w:r>
              <w:t>R2 raw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  <w:tc>
          <w:tcPr>
            <w:tcW w:type="dxa" w:w="2880"/>
          </w:tcPr>
          <w:p>
            <w:r>
              <w:t>hashed IFA + dimensions (reach/replay)</w:t>
            </w:r>
          </w:p>
        </w:tc>
      </w:tr>
      <w:tr>
        <w:tc>
          <w:tcPr>
            <w:tcW w:type="dxa" w:w="2880"/>
          </w:tcPr>
          <w:p>
            <w:r>
              <w:t>R2 aggregated</w:t>
            </w:r>
          </w:p>
        </w:tc>
        <w:tc>
          <w:tcPr>
            <w:tcW w:type="dxa" w:w="2880"/>
          </w:tcPr>
          <w:p>
            <w:r>
              <w:t>13 months</w:t>
            </w:r>
          </w:p>
        </w:tc>
        <w:tc>
          <w:tcPr>
            <w:tcW w:type="dxa" w:w="2880"/>
          </w:tcPr>
          <w:p>
            <w:r>
              <w:t>no identifiers — hour/dimension rollups only</w:t>
            </w:r>
          </w:p>
        </w:tc>
      </w:tr>
    </w:tbl>
    <w:p/>
    <w:p>
      <w:pPr>
        <w:pStyle w:val="Heading3"/>
      </w:pPr>
      <w:r>
        <w:t>Data shared with Universal Ads (CAPI)</w:t>
      </w:r>
    </w:p>
    <w:p>
      <w:r>
        <w:t>On a qualified call we send Universal Ads: matched impression IP, IFA (non-LMT</w:t>
      </w:r>
    </w:p>
    <w:p>
      <w:r>
        <w:t>only), household ID (if provided), hashed caller phone, and coarse geo</w:t>
      </w:r>
    </w:p>
    <w:p>
      <w:r>
        <w:t>(state/zip). This is a server-to-server disclosure to UA as a measurement</w:t>
      </w:r>
    </w:p>
    <w:p>
      <w:r>
        <w:t>partner; document it in your privacy notice and processing terms. LMT</w:t>
      </w:r>
    </w:p>
    <w:p>
      <w:r>
        <w:t>impressions are sent with the opt-out/LDU flag.</w:t>
      </w:r>
    </w:p>
    <w:p>
      <w:r>
        <w:t>Impression and attribution data held by Universal Ads is governed by UA under its</w:t>
      </w:r>
    </w:p>
    <w:p>
      <w:r>
        <w:t>own policies (attribution windows of 7 / 14 / 30 days). We do not retain</w:t>
      </w:r>
    </w:p>
    <w:p>
      <w:r>
        <w:t>identifier-level data for years — the long-term tier is aggregate-only,</w:t>
      </w:r>
    </w:p>
    <w:p>
      <w:r>
        <w:t>satisfying storage minimization.</w:t>
      </w:r>
    </w:p>
    <w:p>
      <w:pPr>
        <w:pStyle w:val="Heading2"/>
      </w:pPr>
      <w:r>
        <w:t>4. Data subject requests (DSAR / erasure)</w:t>
      </w:r>
    </w:p>
    <w:p>
      <w:r>
        <w:t>Because the IFA is hashed deterministically, a subject's data can be located by</w:t>
      </w:r>
    </w:p>
    <w:p>
      <w:r>
        <w:t>hashing their IFA with the current salt and:</w:t>
      </w:r>
    </w:p>
    <w:p>
      <w:pPr>
        <w:pStyle w:val="ListNumber"/>
      </w:pPr>
      <w:r>
        <w:t>Deleting matching keys from the dedup Durable Object store.</w:t>
      </w:r>
    </w:p>
    <w:p>
      <w:pPr>
        <w:pStyle w:val="ListNumber"/>
      </w:pPr>
      <w:r>
        <w:t>Deleting matching rows from the 30-day raw R2 tier.</w:t>
      </w:r>
    </w:p>
    <w:p>
      <w:pPr>
        <w:pStyle w:val="ListNumber"/>
      </w:pPr>
      <w:r>
        <w:t>The RecentImpressions store self-purges within ~60 minutes (nothing to erase</w:t>
      </w:r>
    </w:p>
    <w:p>
      <w:r>
        <w:t xml:space="preserve">   beyond that window).</w:t>
      </w:r>
    </w:p>
    <w:p>
      <w:pPr>
        <w:pStyle w:val="ListNumber"/>
      </w:pPr>
      <w:r>
        <w:t xml:space="preserve">Aggregated tiers contain </w:t>
      </w:r>
      <w:r>
        <w:rPr>
          <w:b/>
        </w:rPr>
        <w:t>no identifiers</w:t>
      </w:r>
      <w:r>
        <w:t>, so nothing to erase there.</w:t>
      </w:r>
    </w:p>
    <w:p>
      <w:r>
        <w:t>AE rows expire within 3 months and contain only the hash.</w:t>
      </w:r>
    </w:p>
    <w:p>
      <w:pPr>
        <w:pStyle w:val="Heading2"/>
      </w:pPr>
      <w:r>
        <w:t>5. Children's content (COPPA)</w:t>
      </w:r>
    </w:p>
    <w:p>
      <w:r>
        <w:t>For child-directed channels, behavioral identifiers must not be used.</w:t>
      </w:r>
    </w:p>
    <w:p>
      <w:r>
        <w:t>Operationally: campaigns flagged child-directed should be configured to send</w:t>
      </w:r>
    </w:p>
    <w:p>
      <w:r>
        <w:rPr>
          <w:rFonts w:ascii="Courier New" w:hAnsi="Courier New"/>
          <w:sz w:val="18"/>
        </w:rPr>
        <w:t>lmt=1</w:t>
      </w:r>
      <w:r>
        <w:t xml:space="preserve"> (or omit the IFA), which the Worker already treats as opt-out, so no</w:t>
      </w:r>
    </w:p>
    <w:p>
      <w:r>
        <w:t>identifier is processed for those impressions.</w:t>
      </w:r>
    </w:p>
    <w:p>
      <w:pPr>
        <w:pStyle w:val="Heading2"/>
      </w:pPr>
      <w:r>
        <w:t>6. Lawful basis / DPIA</w:t>
      </w:r>
    </w:p>
    <w:p>
      <w:r>
        <w:t>Before production, document the lawful basis (legitimate interest or consent per</w:t>
      </w:r>
    </w:p>
    <w:p>
      <w:r>
        <w:t>jurisdiction) and complete a DPIA. The technical controls above (hashing, LMT,</w:t>
      </w:r>
    </w:p>
    <w:p>
      <w:r>
        <w:t>minimization, DSAR path) are prerequisites, not a substitute for that assessment.</w:t>
      </w:r>
    </w:p>
    <w:p>
      <w:pPr>
        <w:pStyle w:val="Heading2"/>
      </w:pPr>
      <w:r>
        <w:t>7. Open items to confirm before go-live</w:t>
      </w:r>
    </w:p>
    <w:p>
      <w:pPr>
        <w:pStyle w:val="ListBullet"/>
      </w:pPr>
      <w:r>
        <w:t>Salt rotation cadence and re-hash strategy.</w:t>
      </w:r>
    </w:p>
    <w:p>
      <w:pPr>
        <w:pStyle w:val="ListBullet"/>
      </w:pPr>
      <w:r>
        <w:rPr>
          <w:b/>
        </w:rPr>
        <w:t>[CONFIRM WITH UA]</w:t>
      </w:r>
      <w:r>
        <w:t xml:space="preserve"> Universal Ads' exact opt-out/LDU signaling tokens and how</w:t>
      </w:r>
    </w:p>
    <w:p>
      <w:r>
        <w:t xml:space="preserve">  they map to our </w:t>
      </w:r>
      <w:r>
        <w:rPr>
          <w:rFonts w:ascii="Courier New" w:hAnsi="Courier New"/>
          <w:sz w:val="18"/>
        </w:rPr>
        <w:t>lmt</w:t>
      </w:r>
      <w:r>
        <w:t xml:space="preserve"> handling.</w:t>
      </w:r>
    </w:p>
    <w:p>
      <w:pPr>
        <w:pStyle w:val="ListBullet"/>
      </w:pPr>
      <w:r>
        <w:rPr>
          <w:b/>
        </w:rPr>
        <w:t>[CONFIRM WITH UA]</w:t>
      </w:r>
      <w:r>
        <w:t xml:space="preserve"> whether a household ID is exposed to partner impression</w:t>
      </w:r>
    </w:p>
    <w:p>
      <w:r>
        <w:t xml:space="preserve">  trackers, and its handling/retention expectations.</w:t>
      </w:r>
    </w:p>
    <w:p>
      <w:pPr>
        <w:pStyle w:val="ListBullet"/>
      </w:pPr>
      <w:r>
        <w:t>Confirm contractual data-processing terms with Universal Ads and advertisers.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