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CTV/Linear Impression Tracking System — Universal Ads</w:t>
      </w:r>
    </w:p>
    <w:p>
      <w:pPr>
        <w:pStyle w:val="Heading2"/>
      </w:pPr>
      <w:r>
        <w:t>Technical Specification</w:t>
      </w:r>
    </w:p>
    <w:p>
      <w:pPr>
        <w:ind w:left="360"/>
      </w:pPr>
      <w:r>
        <w:rPr>
          <w:b/>
          <w:i/>
        </w:rPr>
        <w:t>Adapted for Universal Ads (Comcast / NBCUniversal).</w:t>
      </w:r>
      <w:r>
        <w:t xml:space="preserve"> This is the</w:t>
      </w:r>
    </w:p>
    <w:p>
      <w:pPr>
        <w:ind w:left="360"/>
      </w:pPr>
      <w:r>
        <w:rPr>
          <w:i/>
        </w:rPr>
        <w:t xml:space="preserve">UA-specific companion to the Roku </w:t>
      </w:r>
      <w:r>
        <w:rPr>
          <w:rFonts w:ascii="Courier New" w:hAnsi="Courier New"/>
          <w:sz w:val="18"/>
        </w:rPr>
        <w:t>SPEC.md</w:t>
      </w:r>
      <w:r>
        <w:t>. The architecture is identical</w:t>
      </w:r>
    </w:p>
    <w:p>
      <w:pPr>
        <w:ind w:left="360"/>
      </w:pPr>
      <w:r>
        <w:rPr>
          <w:i/>
        </w:rPr>
        <w:t>(Cloudflare edge ingestion + Analytics Engine + R2 + probabilistic</w:t>
      </w:r>
    </w:p>
    <w:p>
      <w:pPr>
        <w:ind w:left="360"/>
      </w:pPr>
      <w:r>
        <w:rPr>
          <w:i/>
        </w:rPr>
        <w:t>call-to-impression attribution); the differences are the ad-server integration</w:t>
      </w:r>
    </w:p>
    <w:p>
      <w:pPr>
        <w:ind w:left="360"/>
      </w:pPr>
      <w:r>
        <w:rPr>
          <w:i/>
        </w:rPr>
        <w:t>(Comcast / FreeWheel ad technology, VAST impression event, IAB macros) and the</w:t>
      </w:r>
    </w:p>
    <w:p>
      <w:pPr>
        <w:ind w:left="360"/>
      </w:pPr>
      <w:r>
        <w:rPr>
          <w:i/>
        </w:rPr>
        <w:t>conversion API (Universal Ads Conversions API). Items provisioned during UA</w:t>
      </w:r>
    </w:p>
    <w:p>
      <w:pPr>
        <w:ind w:left="360"/>
      </w:pPr>
      <w:r>
        <w:rPr>
          <w:i/>
        </w:rPr>
        <w:t>onboarding / FreeWheel certification rather than fully published are marked</w:t>
      </w:r>
    </w:p>
    <w:p>
      <w:pPr>
        <w:ind w:left="360"/>
      </w:pPr>
      <w:r>
        <w:rPr>
          <w:b/>
          <w:i/>
        </w:rPr>
        <w:t>[CONFIRM WITH UA]</w:t>
      </w:r>
      <w:r>
        <w:t>.</w:t>
      </w:r>
    </w:p>
    <w:p>
      <w:pPr>
        <w:pStyle w:val="Heading3"/>
      </w:pPr>
      <w:r>
        <w:t>1. Executive Summary</w:t>
      </w:r>
    </w:p>
    <w:p>
      <w:r>
        <w:t>This document provides a complete technical specification for a custom impression</w:t>
      </w:r>
    </w:p>
    <w:p>
      <w:r>
        <w:t>tracking system for Connected TV (CTV) and Linear advertising delivered through</w:t>
      </w:r>
    </w:p>
    <w:p>
      <w:r>
        <w:rPr>
          <w:b/>
        </w:rPr>
        <w:t>Universal Ads</w:t>
      </w:r>
      <w:r>
        <w:t xml:space="preserve">, which is built on </w:t>
      </w:r>
      <w:r>
        <w:rPr>
          <w:b/>
        </w:rPr>
        <w:t>Comcast / FreeWheel ad technology</w:t>
      </w:r>
      <w:r>
        <w:t>. The</w:t>
      </w:r>
    </w:p>
    <w:p>
      <w:r>
        <w:t xml:space="preserve">system is built on </w:t>
      </w:r>
      <w:r>
        <w:rPr>
          <w:b/>
        </w:rPr>
        <w:t>Cloudflare Workers</w:t>
      </w:r>
      <w:r>
        <w:t xml:space="preserve"> for global, low-latency ingestion,</w:t>
      </w:r>
    </w:p>
    <w:p>
      <w:r>
        <w:rPr>
          <w:b/>
        </w:rPr>
        <w:t>Workers Analytics Engine</w:t>
      </w:r>
      <w:r>
        <w:t xml:space="preserve"> for real-time time-series analytics, and </w:t>
      </w:r>
      <w:r>
        <w:rPr>
          <w:b/>
        </w:rPr>
        <w:t>R2</w:t>
      </w:r>
      <w:r>
        <w:t xml:space="preserve"> for</w:t>
      </w:r>
    </w:p>
    <w:p>
      <w:r>
        <w:t>long-term data archival.</w:t>
      </w:r>
    </w:p>
    <w:p>
      <w:r>
        <w:t>The system is designed to:</w:t>
      </w:r>
    </w:p>
    <w:p>
      <w:pPr>
        <w:pStyle w:val="ListBullet"/>
      </w:pPr>
      <w:r>
        <w:t>Replace third-party vendor fees with a cost-effective, owned infrastructure</w:t>
      </w:r>
    </w:p>
    <w:p>
      <w:pPr>
        <w:pStyle w:val="ListBullet"/>
      </w:pPr>
      <w:r>
        <w:t>Provide full control over first-party impression data</w:t>
      </w:r>
    </w:p>
    <w:p>
      <w:pPr>
        <w:pStyle w:val="ListBullet"/>
      </w:pPr>
      <w:r>
        <w:t>Scale elastically to handle high-volume CTV/Linear ad traffic</w:t>
      </w:r>
    </w:p>
    <w:p>
      <w:pPr>
        <w:pStyle w:val="ListBullet"/>
      </w:pPr>
      <w:r>
        <w:t>Comply with Universal Ads / FreeWheel technical requirements for partner</w:t>
      </w:r>
    </w:p>
    <w:p>
      <w:r>
        <w:t xml:space="preserve">  impression trackers</w:t>
      </w:r>
    </w:p>
    <w:p>
      <w:pPr>
        <w:pStyle w:val="Heading3"/>
      </w:pPr>
      <w:r>
        <w:t>2. System Overview</w:t>
      </w:r>
    </w:p>
    <w:p>
      <w:pPr>
        <w:pStyle w:val="Heading4"/>
      </w:pPr>
      <w:r>
        <w:t>2.1 Problem Statement</w:t>
      </w:r>
    </w:p>
    <w:p>
      <w:r>
        <w:t>CTV/Linear advertising generates millions of impression events daily.</w:t>
      </w:r>
    </w:p>
    <w:p>
      <w:r>
        <w:t>Third-party measurement vendors charge per-impression fees and limit data</w:t>
      </w:r>
    </w:p>
    <w:p>
      <w:r>
        <w:t>access. A custom solution enables:</w:t>
      </w:r>
    </w:p>
    <w:p>
      <w:pPr>
        <w:pStyle w:val="ListBullet"/>
      </w:pPr>
      <w:r>
        <w:rPr>
          <w:b/>
        </w:rPr>
        <w:t>Cost savings</w:t>
      </w:r>
      <w:r>
        <w:t>: No per-impression vendor fees</w:t>
      </w:r>
    </w:p>
    <w:p>
      <w:pPr>
        <w:pStyle w:val="ListBullet"/>
      </w:pPr>
      <w:r>
        <w:rPr>
          <w:b/>
        </w:rPr>
        <w:t>Data ownership</w:t>
      </w:r>
      <w:r>
        <w:t>: Full access to raw impression data</w:t>
      </w:r>
    </w:p>
    <w:p>
      <w:pPr>
        <w:pStyle w:val="ListBullet"/>
      </w:pPr>
      <w:r>
        <w:rPr>
          <w:b/>
        </w:rPr>
        <w:t>Flexibility</w:t>
      </w:r>
      <w:r>
        <w:t>: Custom attribution models and reporting</w:t>
      </w:r>
    </w:p>
    <w:p>
      <w:pPr>
        <w:pStyle w:val="ListBullet"/>
      </w:pPr>
      <w:r>
        <w:rPr>
          <w:b/>
        </w:rPr>
        <w:t>Privacy compliance</w:t>
      </w:r>
      <w:r>
        <w:t>: Full control over data handling</w:t>
      </w:r>
    </w:p>
    <w:p>
      <w:pPr>
        <w:pStyle w:val="Heading4"/>
      </w:pPr>
      <w:r>
        <w:t>2.2 High-Level Architecture</w:t>
      </w:r>
    </w:p>
    <w:p>
      <w:pPr>
        <w:ind w:left="240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Universal Ads (Comcast / FreeWheel ad tech)         │</w:t>
        <w:br/>
        <w:t>│  ┌───────────────────────────────────────────────────────────┐  │</w:t>
        <w:br/>
        <w:t>│  │  Ad server renders CTV/Linear ad and fires the VAST       │  │</w:t>
        <w:br/>
        <w:t>│  │  Impression event, calling our partner impression tracker │  │</w:t>
        <w:br/>
        <w:t>│  │  GET https://tracker.example.com/pixel?campaign_id=...    │  │</w:t>
        <w:br/>
        <w:t>│  └───────────────────────────────────────────────────────────┘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Cloudflare Workers (Edge)                    │</w:t>
        <w:br/>
        <w:t>│  ┌───────────────────────────────────────────────────────────┐  │</w:t>
        <w:br/>
        <w:t>│  │  /pixel endpoint - ingests impression beacon             │  │</w:t>
        <w:br/>
        <w:t>│  │  • Extracts query parameters (campaign, creative, IFA)   │  │</w:t>
        <w:br/>
        <w:t>│  │  • Adds geolocation from request.cf                      │  │</w:t>
        <w:br/>
        <w:t>│  │  • Writes to Analytics Engine (non-blocking)             │  │</w:t>
        <w:br/>
        <w:t>│  │  • Returns 1x1 transparent GIF pixel                    │  │</w:t>
        <w:br/>
        <w:t>│  └───────────────────────────────────────────────────────────┘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│                           │</w:t>
        <w:br/>
        <w:t xml:space="preserve">                    ▼                           ▼</w:t>
        <w:br/>
        <w:t>┌───────────────────────────────┐ ┌───────────────────────────────┐</w:t>
        <w:br/>
        <w:t>│     Workers Analytics Engine  │ │          R2 Storage           │</w:t>
        <w:br/>
        <w:t>│  • Real-time time-series data │ │  • Daily NDJSON/Parquet       │</w:t>
        <w:br/>
        <w:t>│  • 3-month retention          │ │  • Long-term archival         │</w:t>
        <w:br/>
        <w:t>│  • SQL query API              │ │  • Cost-effective storage     │</w:t>
        <w:br/>
        <w:t>└───────────────────────────────┘ └───────────────────────────────┘</w:t>
        <w:br/>
        <w:t xml:space="preserve">                    │</w:t>
        <w:br/>
        <w:t xml:space="preserve">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Visualization &amp; Reporting                  │</w:t>
        <w:br/>
        <w:t>│  • Dashboards (real-time)                                      │</w:t>
        <w:br/>
        <w:t>│  • Custom SQL queries via API                                  │</w:t>
        <w:br/>
        <w:t>│  • Scheduled reports (daily/weekly)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 Universal Ads Integration Requirements</w:t>
      </w:r>
    </w:p>
    <w:p>
      <w:pPr>
        <w:pStyle w:val="Heading4"/>
      </w:pPr>
      <w:r>
        <w:t>3.1 Impression Tracker Compliance</w:t>
      </w:r>
    </w:p>
    <w:p>
      <w:r>
        <w:t>Universal Ads runs on FreeWheel ad technology. Partner-supplied impression</w:t>
      </w:r>
    </w:p>
    <w:p>
      <w:r>
        <w:t>trackers are subject to certification. Our tag is designed to meet standard</w:t>
      </w:r>
    </w:p>
    <w:p>
      <w:r>
        <w:t>first-party/partner tracker requirements: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Tag Type</w:t>
            </w:r>
          </w:p>
        </w:tc>
        <w:tc>
          <w:tcPr>
            <w:tcW w:type="dxa" w:w="4320"/>
          </w:tcPr>
          <w:p>
            <w:r>
              <w:t>Impression tracker only (no click, quartile, or VPAID)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HTTPS only (HTTP will be rejected)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No spaces in URLs; single unwrapped GET</w:t>
            </w:r>
          </w:p>
        </w:tc>
      </w:tr>
      <w:tr>
        <w:tc>
          <w:tcPr>
            <w:tcW w:type="dxa" w:w="4320"/>
          </w:tcPr>
          <w:p>
            <w:r>
              <w:t>Placement</w:t>
            </w:r>
          </w:p>
        </w:tc>
        <w:tc>
          <w:tcPr>
            <w:tcW w:type="dxa" w:w="4320"/>
          </w:tcPr>
          <w:p>
            <w:r>
              <w:t>Attached to the creative at the ad-server level; fires on the VAST Impression event</w:t>
            </w:r>
          </w:p>
        </w:tc>
      </w:tr>
      <w:tr>
        <w:tc>
          <w:tcPr>
            <w:tcW w:type="dxa" w:w="4320"/>
          </w:tcPr>
          <w:p>
            <w:r>
              <w:t>[CONFIRM WITH UA]</w:t>
            </w:r>
          </w:p>
        </w:tc>
        <w:tc>
          <w:tcPr>
            <w:tcW w:type="dxa" w:w="4320"/>
          </w:tcPr>
          <w:p>
            <w:r>
              <w:t>That partner-supplied impression trackers are permitted on a given creative, and the maximum number of trackers per creative</w:t>
            </w:r>
          </w:p>
        </w:tc>
      </w:tr>
    </w:tbl>
    <w:p/>
    <w:p>
      <w:pPr>
        <w:pStyle w:val="Heading4"/>
      </w:pPr>
      <w:r>
        <w:t>3.2 Supported Macros (IAB / VAST)</w:t>
      </w:r>
    </w:p>
    <w:p>
      <w:r>
        <w:t>Universal Ads / FreeWheel substitutes IAB-standard VAST macros into the tracker</w:t>
      </w:r>
    </w:p>
    <w:p>
      <w:r>
        <w:t>URL at fire time. Our proposed macro set (exact tokens confirmed during</w:t>
      </w:r>
    </w:p>
    <w:p>
      <w:r>
        <w:t>certification):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IAB / VAST macro (proposed)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Encoding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Device advertising ID (IFA)</w:t>
            </w:r>
          </w:p>
        </w:tc>
        <w:tc>
          <w:tcPr>
            <w:tcW w:type="dxa" w:w="2160"/>
          </w:tcPr>
          <w:p>
            <w:r>
              <w:t>[IFA]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RIDA / IDFA / AAID per device</w:t>
            </w:r>
          </w:p>
        </w:tc>
      </w:tr>
      <w:tr>
        <w:tc>
          <w:tcPr>
            <w:tcW w:type="dxa" w:w="2160"/>
          </w:tcPr>
          <w:p>
            <w:r>
              <w:t>IFA type</w:t>
            </w:r>
          </w:p>
        </w:tc>
        <w:tc>
          <w:tcPr>
            <w:tcW w:type="dxa" w:w="2160"/>
          </w:tcPr>
          <w:p>
            <w:r>
              <w:t>[IFATYPE]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Identifies the ID namespace</w:t>
            </w:r>
          </w:p>
        </w:tc>
      </w:tr>
      <w:tr>
        <w:tc>
          <w:tcPr>
            <w:tcW w:type="dxa" w:w="2160"/>
          </w:tcPr>
          <w:p>
            <w:r>
              <w:t>Limit-ad-tracking (LMT)</w:t>
            </w:r>
          </w:p>
        </w:tc>
        <w:tc>
          <w:tcPr>
            <w:tcW w:type="dxa" w:w="2160"/>
          </w:tcPr>
          <w:p>
            <w:r>
              <w:t>[LIMITADTRACKING]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Consent/opt-out signal</w:t>
            </w:r>
          </w:p>
        </w:tc>
      </w:tr>
      <w:tr>
        <w:tc>
          <w:tcPr>
            <w:tcW w:type="dxa" w:w="2160"/>
          </w:tcPr>
          <w:p>
            <w:r>
              <w:t>Cachebuster</w:t>
            </w:r>
          </w:p>
        </w:tc>
        <w:tc>
          <w:tcPr>
            <w:tcW w:type="dxa" w:w="2160"/>
          </w:tcPr>
          <w:p>
            <w:r>
              <w:t>[CACHEBUSTING]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Prevents caching</w:t>
            </w:r>
          </w:p>
        </w:tc>
      </w:tr>
      <w:tr>
        <w:tc>
          <w:tcPr>
            <w:tcW w:type="dxa" w:w="2160"/>
          </w:tcPr>
          <w:p>
            <w:r>
              <w:t>Device IP</w:t>
            </w:r>
          </w:p>
        </w:tc>
        <w:tc>
          <w:tcPr>
            <w:tcW w:type="dxa" w:w="2160"/>
          </w:tcPr>
          <w:p>
            <w:r>
              <w:t>[IP] / server-side CF-Connecting-IP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May be withheld under privacy restrictions</w:t>
            </w:r>
          </w:p>
        </w:tc>
      </w:tr>
      <w:tr>
        <w:tc>
          <w:tcPr>
            <w:tcW w:type="dxa" w:w="2160"/>
          </w:tcPr>
          <w:p>
            <w:r>
              <w:t>Household ID (if provided)</w:t>
            </w:r>
          </w:p>
        </w:tc>
        <w:tc>
          <w:tcPr>
            <w:tcW w:type="dxa" w:w="2160"/>
          </w:tcPr>
          <w:p>
            <w:r>
              <w:t>[CONFIRM WITH UA]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UA/FreeWheel first-party identity</w:t>
            </w:r>
          </w:p>
        </w:tc>
      </w:tr>
      <w:tr>
        <w:tc>
          <w:tcPr>
            <w:tcW w:type="dxa" w:w="2160"/>
          </w:tcPr>
          <w:p>
            <w:r>
              <w:t>App / content / network</w:t>
            </w:r>
          </w:p>
        </w:tc>
        <w:tc>
          <w:tcPr>
            <w:tcW w:type="dxa" w:w="2160"/>
          </w:tcPr>
          <w:p>
            <w:r>
              <w:t>[APPBUNDLE], [CONTENTID] …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Optional, for reporting</w:t>
            </w:r>
          </w:p>
        </w:tc>
      </w:tr>
    </w:tbl>
    <w:p/>
    <w:p>
      <w:pPr>
        <w:ind w:left="360"/>
      </w:pPr>
      <w:r>
        <w:rPr>
          <w:b/>
          <w:i/>
        </w:rPr>
        <w:t>[CONFIRM WITH UA]</w:t>
      </w:r>
      <w:r>
        <w:t xml:space="preserve"> the exact macro tokens available on the inventory and</w:t>
      </w:r>
    </w:p>
    <w:p>
      <w:pPr>
        <w:ind w:left="360"/>
      </w:pPr>
      <w:r>
        <w:rPr>
          <w:i/>
        </w:rPr>
        <w:t>whether a household ID is exposed to partner trackers. If tokens differ from</w:t>
      </w:r>
    </w:p>
    <w:p>
      <w:pPr>
        <w:ind w:left="360"/>
      </w:pPr>
      <w:r>
        <w:rPr>
          <w:i/>
        </w:rPr>
        <w:t>the above, we regenerate the tag to match.</w:t>
      </w:r>
    </w:p>
    <w:p>
      <w:pPr>
        <w:pStyle w:val="Heading4"/>
      </w:pPr>
      <w:r>
        <w:t>3.3 Certification</w:t>
      </w:r>
    </w:p>
    <w:p>
      <w:r>
        <w:t>Per Universal Ads / FreeWheel certification, partner measurement beacons are</w:t>
      </w:r>
    </w:p>
    <w:p>
      <w:r>
        <w:t>validated before go-live. Unlike Roku's RAF client-side watermark, UA/FreeWheel</w:t>
      </w:r>
    </w:p>
    <w:p>
      <w:r>
        <w:t>authenticity is established during certification and by our own HMAC signature on</w:t>
      </w:r>
    </w:p>
    <w:p>
      <w:r>
        <w:t xml:space="preserve">the tag (see §7.2). </w:t>
      </w:r>
      <w:r>
        <w:rPr>
          <w:b/>
        </w:rPr>
        <w:t>[CONFIRM WITH UA]</w:t>
      </w:r>
      <w:r>
        <w:t xml:space="preserve"> the certification steps and any</w:t>
      </w:r>
    </w:p>
    <w:p>
      <w:r>
        <w:t>watermark/authenticity tokens available.</w:t>
      </w:r>
    </w:p>
    <w:p>
      <w:pPr>
        <w:pStyle w:val="Heading3"/>
      </w:pPr>
      <w:r>
        <w:t>4. Technical Architecture</w:t>
      </w:r>
    </w:p>
    <w:p>
      <w:pPr>
        <w:pStyle w:val="Heading4"/>
      </w:pPr>
      <w:r>
        <w:t>4.1 Cloudflare Workers (Ingestion Layer)</w:t>
      </w:r>
    </w:p>
    <w:p>
      <w:r>
        <w:t>The Worker serves as the global entry point for impression beacons.</w:t>
      </w:r>
    </w:p>
    <w:p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sz w:val="18"/>
        </w:rPr>
        <w:t>GET /pixel</w:t>
      </w:r>
    </w:p>
    <w:p>
      <w:r>
        <w:rPr>
          <w:b/>
        </w:rPr>
        <w:t>Query Parameters</w:t>
      </w:r>
      <w:r>
        <w:t xml:space="preserve"> (populated by UA/FreeWheel VAST macros):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Macro (proposed)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advertiser_id</w:t>
            </w:r>
          </w:p>
        </w:tc>
        <w:tc>
          <w:tcPr>
            <w:tcW w:type="dxa" w:w="2160"/>
          </w:tcPr>
          <w:p>
            <w:r>
              <w:t>Set by us (signed)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Advertiser UID</w:t>
            </w:r>
          </w:p>
        </w:tc>
      </w:tr>
      <w:tr>
        <w:tc>
          <w:tcPr>
            <w:tcW w:type="dxa" w:w="2160"/>
          </w:tcPr>
          <w:p>
            <w:r>
              <w:t>campaign_id</w:t>
            </w:r>
          </w:p>
        </w:tc>
        <w:tc>
          <w:tcPr>
            <w:tcW w:type="dxa" w:w="2160"/>
          </w:tcPr>
          <w:p>
            <w:r>
              <w:t>Set by us (signed)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Campaign UID</w:t>
            </w:r>
          </w:p>
        </w:tc>
      </w:tr>
      <w:tr>
        <w:tc>
          <w:tcPr>
            <w:tcW w:type="dxa" w:w="2160"/>
          </w:tcPr>
          <w:p>
            <w:r>
              <w:t>creative_id</w:t>
            </w:r>
          </w:p>
        </w:tc>
        <w:tc>
          <w:tcPr>
            <w:tcW w:type="dxa" w:w="2160"/>
          </w:tcPr>
          <w:p>
            <w:r>
              <w:t>Set by us (signed)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Creative UID</w:t>
            </w:r>
          </w:p>
        </w:tc>
      </w:tr>
      <w:tr>
        <w:tc>
          <w:tcPr>
            <w:tcW w:type="dxa" w:w="2160"/>
          </w:tcPr>
          <w:p>
            <w:r>
              <w:t>ifa</w:t>
            </w:r>
          </w:p>
        </w:tc>
        <w:tc>
          <w:tcPr>
            <w:tcW w:type="dxa" w:w="2160"/>
          </w:tcPr>
          <w:p>
            <w:r>
              <w:t>[IFA]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Device advertising ID (for dedup/reach/attribution)</w:t>
            </w:r>
          </w:p>
        </w:tc>
      </w:tr>
      <w:tr>
        <w:tc>
          <w:tcPr>
            <w:tcW w:type="dxa" w:w="2160"/>
          </w:tcPr>
          <w:p>
            <w:r>
              <w:t>ifa_type</w:t>
            </w:r>
          </w:p>
        </w:tc>
        <w:tc>
          <w:tcPr>
            <w:tcW w:type="dxa" w:w="2160"/>
          </w:tcPr>
          <w:p>
            <w:r>
              <w:t>[IFATYPE]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IFA namespace</w:t>
            </w:r>
          </w:p>
        </w:tc>
      </w:tr>
      <w:tr>
        <w:tc>
          <w:tcPr>
            <w:tcW w:type="dxa" w:w="2160"/>
          </w:tcPr>
          <w:p>
            <w:r>
              <w:t>hh_id</w:t>
            </w:r>
          </w:p>
        </w:tc>
        <w:tc>
          <w:tcPr>
            <w:tcW w:type="dxa" w:w="2160"/>
          </w:tcPr>
          <w:p>
            <w:r>
              <w:t>[CONFIRM WITH UA]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Household ID, if provided</w:t>
            </w:r>
          </w:p>
        </w:tc>
      </w:tr>
      <w:tr>
        <w:tc>
          <w:tcPr>
            <w:tcW w:type="dxa" w:w="2160"/>
          </w:tcPr>
          <w:p>
            <w:r>
              <w:t>lmt</w:t>
            </w:r>
          </w:p>
        </w:tc>
        <w:tc>
          <w:tcPr>
            <w:tcW w:type="dxa" w:w="2160"/>
          </w:tcPr>
          <w:p>
            <w:r>
              <w:t>[LIMITADTRACKING]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Limit-ad-tracking flag</w:t>
            </w:r>
          </w:p>
        </w:tc>
      </w:tr>
      <w:tr>
        <w:tc>
          <w:tcPr>
            <w:tcW w:type="dxa" w:w="2160"/>
          </w:tcPr>
          <w:p>
            <w:r>
              <w:t>device_ip</w:t>
            </w:r>
          </w:p>
        </w:tc>
        <w:tc>
          <w:tcPr>
            <w:tcW w:type="dxa" w:w="2160"/>
          </w:tcPr>
          <w:p>
            <w:r>
              <w:t>[IP]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Device IP (may be withheld)</w:t>
            </w:r>
          </w:p>
        </w:tc>
      </w:tr>
      <w:tr>
        <w:tc>
          <w:tcPr>
            <w:tcW w:type="dxa" w:w="2160"/>
          </w:tcPr>
          <w:p>
            <w:r>
              <w:t>cachebuster</w:t>
            </w:r>
          </w:p>
        </w:tc>
        <w:tc>
          <w:tcPr>
            <w:tcW w:type="dxa" w:w="2160"/>
          </w:tcPr>
          <w:p>
            <w:r>
              <w:t>[CACHEBUSTING]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Prevents caching</w:t>
            </w:r>
          </w:p>
        </w:tc>
      </w:tr>
      <w:tr>
        <w:tc>
          <w:tcPr>
            <w:tcW w:type="dxa" w:w="2160"/>
          </w:tcPr>
          <w:p>
            <w:r>
              <w:t>app_id</w:t>
            </w:r>
          </w:p>
        </w:tc>
        <w:tc>
          <w:tcPr>
            <w:tcW w:type="dxa" w:w="2160"/>
          </w:tcPr>
          <w:p>
            <w:r>
              <w:t>[APPBUNDLE]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App/channel/bundle ID</w:t>
            </w:r>
          </w:p>
        </w:tc>
      </w:tr>
    </w:tbl>
    <w:p/>
    <w:p>
      <w:r>
        <w:rPr>
          <w:b/>
        </w:rPr>
        <w:t>Response:</w:t>
      </w:r>
      <w:r>
        <w:t xml:space="preserve"> 1x1 transparent GIF pixel (base64 decoded via </w:t>
      </w:r>
      <w:r>
        <w:rPr>
          <w:rFonts w:ascii="Courier New" w:hAnsi="Courier New"/>
          <w:sz w:val="18"/>
        </w:rPr>
        <w:t>atob</w:t>
      </w:r>
      <w:r>
        <w:t xml:space="preserve"> into a</w:t>
      </w:r>
    </w:p>
    <w:p>
      <w:r>
        <w:rPr>
          <w:rFonts w:ascii="Courier New" w:hAnsi="Courier New"/>
          <w:sz w:val="18"/>
        </w:rPr>
        <w:t>Uint8Array</w:t>
      </w:r>
      <w:r>
        <w:t xml:space="preserve">) with </w:t>
      </w:r>
      <w:r>
        <w:rPr>
          <w:rFonts w:ascii="Courier New" w:hAnsi="Courier New"/>
          <w:sz w:val="18"/>
        </w:rPr>
        <w:t>Cache-Control: no-store</w:t>
      </w:r>
      <w:r>
        <w:t>.</w:t>
      </w:r>
    </w:p>
    <w:p>
      <w:pPr>
        <w:pStyle w:val="Heading4"/>
      </w:pPr>
      <w:r>
        <w:t>4.2 Workers Analytics Engine (Real-Time Analytics)</w:t>
      </w:r>
    </w:p>
    <w:p>
      <w:r>
        <w:t>Analytics Engine provides time-series analytics at scale, optimized for</w:t>
      </w:r>
    </w:p>
    <w:p>
      <w:r>
        <w:t>aggregated queries over high-cardinality data. Writes are non-blocking and do</w:t>
      </w:r>
    </w:p>
    <w:p>
      <w:r>
        <w:t>not impact request latency.</w:t>
      </w:r>
    </w:p>
    <w:p>
      <w:r>
        <w:rPr>
          <w:b/>
        </w:rPr>
        <w:t>Dataset:</w:t>
      </w:r>
      <w:r>
        <w:t xml:space="preserve"> </w:t>
      </w:r>
      <w:r>
        <w:rPr>
          <w:rFonts w:ascii="Courier New" w:hAnsi="Courier New"/>
          <w:sz w:val="18"/>
        </w:rPr>
        <w:t>impression_events</w:t>
      </w:r>
    </w:p>
    <w:p>
      <w:r>
        <w:t xml:space="preserve">We store a </w:t>
      </w:r>
      <w:r>
        <w:rPr>
          <w:b/>
        </w:rPr>
        <w:t>salted hash of the IFA</w:t>
      </w:r>
      <w:r>
        <w:t xml:space="preserve"> (</w:t>
      </w:r>
      <w:r>
        <w:rPr>
          <w:rFonts w:ascii="Courier New" w:hAnsi="Courier New"/>
          <w:sz w:val="18"/>
        </w:rPr>
        <w:t>ifa_hash</w:t>
      </w:r>
      <w:r>
        <w:t>), never the raw identifier, and</w:t>
      </w:r>
    </w:p>
    <w:p>
      <w:r>
        <w:t xml:space="preserve">an </w:t>
      </w:r>
      <w:r>
        <w:rPr>
          <w:rFonts w:ascii="Courier New" w:hAnsi="Courier New"/>
          <w:sz w:val="18"/>
        </w:rPr>
        <w:t>ifa_present</w:t>
      </w:r>
      <w:r>
        <w:t xml:space="preserve"> flag. Blob order (1-indexed for SQL — </w:t>
      </w:r>
      <w:r>
        <w:rPr>
          <w:rFonts w:ascii="Courier New" w:hAnsi="Courier New"/>
          <w:sz w:val="18"/>
        </w:rPr>
        <w:t>blob1</w:t>
      </w:r>
      <w:r>
        <w:t>…</w:t>
      </w:r>
      <w:r>
        <w:rPr>
          <w:rFonts w:ascii="Courier New" w:hAnsi="Courier New"/>
          <w:sz w:val="18"/>
        </w:rPr>
        <w:t>blob20</w:t>
      </w:r>
      <w:r>
        <w:t>, there is</w:t>
      </w:r>
    </w:p>
    <w:p>
      <w:r>
        <w:t xml:space="preserve">no </w:t>
      </w:r>
      <w:r>
        <w:rPr>
          <w:rFonts w:ascii="Courier New" w:hAnsi="Courier New"/>
          <w:sz w:val="18"/>
        </w:rPr>
        <w:t>blob0</w:t>
      </w:r>
      <w:r>
        <w:t>):</w:t>
      </w:r>
    </w:p>
    <w:p>
      <w:r>
        <w:rPr>
          <w:rFonts w:ascii="Courier New" w:hAnsi="Courier New"/>
          <w:sz w:val="18"/>
        </w:rPr>
        <w:t>1=campaign_id, 2=creative_id, 3=ifa_hash, 4=country, 5=app_id, 6=advertiser_id, 7=ifa_present</w:t>
      </w:r>
    </w:p>
    <w:p>
      <w:r>
        <w:t xml:space="preserve">Impression totals are computed as </w:t>
      </w:r>
      <w:r>
        <w:rPr>
          <w:rFonts w:ascii="Courier New" w:hAnsi="Courier New"/>
          <w:sz w:val="18"/>
        </w:rPr>
        <w:t>sum(_sample_interval)</w:t>
      </w:r>
      <w:r>
        <w:t xml:space="preserve">, </w:t>
      </w:r>
      <w:r>
        <w:rPr>
          <w:b/>
        </w:rPr>
        <w:t>not</w:t>
      </w:r>
    </w:p>
    <w:p>
      <w:r>
        <w:rPr>
          <w:rFonts w:ascii="Courier New" w:hAnsi="Courier New"/>
          <w:sz w:val="18"/>
        </w:rPr>
        <w:t>sum(double0)</w:t>
      </w:r>
      <w:r>
        <w:t>, because WAE samples.</w:t>
      </w:r>
    </w:p>
    <w:p>
      <w:r>
        <w:rPr>
          <w:b/>
        </w:rPr>
        <w:t>Index</w:t>
      </w:r>
      <w:r>
        <w:t xml:space="preserve"> (sampling key): </w:t>
      </w:r>
      <w:r>
        <w:rPr>
          <w:rFonts w:ascii="Courier New" w:hAnsi="Courier New"/>
          <w:sz w:val="18"/>
        </w:rPr>
        <w:t>campaign_id</w:t>
      </w:r>
      <w:r>
        <w:t xml:space="preserve"> (single value, ≤ 96 bytes) — ensures</w:t>
      </w:r>
    </w:p>
    <w:p>
      <w:r>
        <w:t>equitable sampling per campaign.</w:t>
      </w:r>
    </w:p>
    <w:p>
      <w:r>
        <w:rPr>
          <w:b/>
        </w:rPr>
        <w:t>Verified Analytics Engine limits: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Blobs per data point</w:t>
            </w:r>
          </w:p>
        </w:tc>
        <w:tc>
          <w:tcPr>
            <w:tcW w:type="dxa" w:w="4320"/>
          </w:tcPr>
          <w:p>
            <w:r>
              <w:t>20 max</w:t>
            </w:r>
          </w:p>
        </w:tc>
      </w:tr>
      <w:tr>
        <w:tc>
          <w:tcPr>
            <w:tcW w:type="dxa" w:w="4320"/>
          </w:tcPr>
          <w:p>
            <w:r>
              <w:t>Doubles per data point</w:t>
            </w:r>
          </w:p>
        </w:tc>
        <w:tc>
          <w:tcPr>
            <w:tcW w:type="dxa" w:w="4320"/>
          </w:tcPr>
          <w:p>
            <w:r>
              <w:t>20 max</w:t>
            </w:r>
          </w:p>
        </w:tc>
      </w:tr>
      <w:tr>
        <w:tc>
          <w:tcPr>
            <w:tcW w:type="dxa" w:w="4320"/>
          </w:tcPr>
          <w:p>
            <w:r>
              <w:t>Indexes per data point</w:t>
            </w:r>
          </w:p>
        </w:tc>
        <w:tc>
          <w:tcPr>
            <w:tcW w:type="dxa" w:w="4320"/>
          </w:tcPr>
          <w:p>
            <w:r>
              <w:t>exactly 1, ≤ 96 bytes</w:t>
            </w:r>
          </w:p>
        </w:tc>
      </w:tr>
      <w:tr>
        <w:tc>
          <w:tcPr>
            <w:tcW w:type="dxa" w:w="4320"/>
          </w:tcPr>
          <w:p>
            <w:r>
              <w:t>Total blob size</w:t>
            </w:r>
          </w:p>
        </w:tc>
        <w:tc>
          <w:tcPr>
            <w:tcW w:type="dxa" w:w="4320"/>
          </w:tcPr>
          <w:p>
            <w:r>
              <w:t>≤ 16 KB per data point</w:t>
            </w:r>
          </w:p>
        </w:tc>
      </w:tr>
      <w:tr>
        <w:tc>
          <w:tcPr>
            <w:tcW w:type="dxa" w:w="4320"/>
          </w:tcPr>
          <w:p>
            <w:r>
              <w:t>writeDataPoint calls per invocation</w:t>
            </w:r>
          </w:p>
        </w:tc>
        <w:tc>
          <w:tcPr>
            <w:tcW w:type="dxa" w:w="4320"/>
          </w:tcPr>
          <w:p>
            <w:r>
              <w:t>250 max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3 months</w:t>
            </w:r>
          </w:p>
        </w:tc>
      </w:tr>
    </w:tbl>
    <w:p/>
    <w:p>
      <w:r>
        <w:t>The AE binding (</w:t>
      </w:r>
      <w:r>
        <w:rPr>
          <w:rFonts w:ascii="Courier New" w:hAnsi="Courier New"/>
          <w:sz w:val="18"/>
        </w:rPr>
        <w:t>env.ANALYTICS</w:t>
      </w:r>
      <w:r>
        <w:t xml:space="preserve">) is </w:t>
      </w:r>
      <w:r>
        <w:rPr>
          <w:b/>
        </w:rPr>
        <w:t>write-only</w:t>
      </w:r>
      <w:r>
        <w:t>. All reads (reporting + the</w:t>
      </w:r>
    </w:p>
    <w:p>
      <w:r>
        <w:t xml:space="preserve">daily export) go through the </w:t>
      </w:r>
      <w:r>
        <w:rPr>
          <w:b/>
        </w:rPr>
        <w:t>SQL API</w:t>
      </w:r>
      <w:r>
        <w:t xml:space="preserve"> over HTTPS with an account-scoped Bearer</w:t>
      </w:r>
    </w:p>
    <w:p>
      <w:r>
        <w:t>token.</w:t>
      </w:r>
    </w:p>
    <w:p>
      <w:pPr>
        <w:pStyle w:val="Heading4"/>
      </w:pPr>
      <w:r>
        <w:t>4.3 R2 Storage (Long-Term Archival)</w:t>
      </w:r>
    </w:p>
    <w:p>
      <w:pPr>
        <w:pStyle w:val="ListBullet"/>
      </w:pPr>
      <w:r>
        <w:rPr>
          <w:b/>
        </w:rPr>
        <w:t>Format:</w:t>
      </w:r>
      <w:r>
        <w:t xml:space="preserve"> NDJSON (Parquet conversion downstream)</w:t>
      </w:r>
    </w:p>
    <w:p>
      <w:pPr>
        <w:pStyle w:val="ListBullet"/>
      </w:pPr>
      <w:r>
        <w:rPr>
          <w:b/>
        </w:rPr>
        <w:t>Schedule:</w:t>
      </w:r>
      <w:r>
        <w:t xml:space="preserve"> Daily export via scheduled Worker (Cron Trigger)</w:t>
      </w:r>
    </w:p>
    <w:p>
      <w:pPr>
        <w:pStyle w:val="ListBullet"/>
      </w:pPr>
      <w:r>
        <w:rPr>
          <w:b/>
        </w:rPr>
        <w:t>Partitioning:</w:t>
      </w:r>
      <w:r>
        <w:t xml:space="preserve"> </w:t>
      </w:r>
      <w:r>
        <w:rPr>
          <w:rFonts w:ascii="Courier New" w:hAnsi="Courier New"/>
          <w:sz w:val="18"/>
        </w:rPr>
        <w:t>dt=YYYY-MM-DD/</w:t>
      </w:r>
      <w:r>
        <w:t xml:space="preserve"> folder structure</w:t>
      </w:r>
    </w:p>
    <w:p>
      <w:pPr>
        <w:pStyle w:val="ListBullet"/>
      </w:pPr>
      <w:r>
        <w:rPr>
          <w:b/>
        </w:rPr>
        <w:t>Retention:</w:t>
      </w:r>
      <w:r>
        <w:t xml:space="preserve"> 13 months aggregate (no raw identifiers); 30 days raw (hashed</w:t>
      </w:r>
    </w:p>
    <w:p>
      <w:r>
        <w:t xml:space="preserve">  IFA only)</w:t>
      </w:r>
    </w:p>
    <w:p>
      <w:pPr>
        <w:pStyle w:val="Heading3"/>
      </w:pPr>
      <w:r>
        <w:t>5. Implementation</w:t>
      </w:r>
    </w:p>
    <w:p>
      <w:r>
        <w:t>The ingestion Worker verifies an HMAC signature + expiry, validates parameter</w:t>
      </w:r>
    </w:p>
    <w:p>
      <w:r>
        <w:t>formats, and checks a campaign allowlist before counting. It deduplicates per</w:t>
      </w:r>
    </w:p>
    <w:p>
      <w:r>
        <w:t xml:space="preserve">device/campaign/creative via a Durable Object and honors </w:t>
      </w:r>
      <w:r>
        <w:rPr>
          <w:rFonts w:ascii="Courier New" w:hAnsi="Courier New"/>
          <w:sz w:val="18"/>
        </w:rPr>
        <w:t>lmt=1</w:t>
      </w:r>
      <w:r>
        <w:t xml:space="preserve"> by discarding</w:t>
      </w:r>
    </w:p>
    <w:p>
      <w:r>
        <w:t>the identifier. The pixel is returned immediately; validation, dedup, and the AE</w:t>
      </w:r>
    </w:p>
    <w:p>
      <w:r>
        <w:t xml:space="preserve">write run asynchronously via </w:t>
      </w:r>
      <w:r>
        <w:rPr>
          <w:rFonts w:ascii="Courier New" w:hAnsi="Courier New"/>
          <w:sz w:val="18"/>
        </w:rPr>
        <w:t>ctx.waitUntil</w:t>
      </w:r>
      <w:r>
        <w:t>, so request latency is unaffected.</w:t>
      </w:r>
    </w:p>
    <w:p>
      <w:r>
        <w:t xml:space="preserve">The scheduled export reads via the AE </w:t>
      </w:r>
      <w:r>
        <w:rPr>
          <w:b/>
        </w:rPr>
        <w:t>SQL API</w:t>
      </w:r>
      <w:r>
        <w:t>, buckets by hour</w:t>
      </w:r>
    </w:p>
    <w:p>
      <w:r>
        <w:t>(</w:t>
      </w:r>
      <w:r>
        <w:rPr>
          <w:rFonts w:ascii="Courier New" w:hAnsi="Courier New"/>
          <w:sz w:val="18"/>
        </w:rPr>
        <w:t>toStartOfHour(timestamp)</w:t>
      </w:r>
      <w:r>
        <w:t xml:space="preserve">), weights by </w:t>
      </w:r>
      <w:r>
        <w:rPr>
          <w:rFonts w:ascii="Courier New" w:hAnsi="Courier New"/>
          <w:sz w:val="18"/>
        </w:rPr>
        <w:t>sum(_sample_interval)</w:t>
      </w:r>
      <w:r>
        <w:t>, streams NDJSON</w:t>
      </w:r>
    </w:p>
    <w:p>
      <w:r>
        <w:t>to R2 (idempotent, backfill-capable), and writes a freshness marker for</w:t>
      </w:r>
    </w:p>
    <w:p>
      <w:r>
        <w:t>monitoring.</w:t>
      </w:r>
    </w:p>
    <w:p>
      <w:pPr>
        <w:pStyle w:val="Heading3"/>
      </w:pPr>
      <w:r>
        <w:t>6. Querying and Analytics</w:t>
      </w:r>
    </w:p>
    <w:p>
      <w:r>
        <w:rPr>
          <w:b/>
        </w:rPr>
        <w:t>Total Impressions by Campaign (Last 7 Days):</w:t>
      </w:r>
    </w:p>
    <w:p>
      <w:pPr>
        <w:ind w:left="240"/>
      </w:pPr>
      <w:r>
        <w:rPr>
          <w:rFonts w:ascii="Courier New" w:hAnsi="Courier New"/>
          <w:sz w:val="17"/>
        </w:rPr>
        <w:t>SELECT blob1 AS campaign_id, sum(_sample_interval) AS total_impressions</w:t>
        <w:br/>
        <w:t>FROM impression_events</w:t>
        <w:br/>
        <w:t>WHERE timestamp &gt; now() - INTERVAL '7' DAY</w:t>
        <w:br/>
        <w:t>GROUP BY campaign_id ORDER BY total_impressions DESC;</w:t>
      </w:r>
    </w:p>
    <w:p>
      <w:r>
        <w:rPr>
          <w:b/>
        </w:rPr>
        <w:t>Unique Devices by Campaign (Reach) — ESTIMATE ONLY:</w:t>
      </w:r>
    </w:p>
    <w:p>
      <w:pPr>
        <w:ind w:left="240"/>
      </w:pPr>
      <w:r>
        <w:rPr>
          <w:rFonts w:ascii="Courier New" w:hAnsi="Courier New"/>
          <w:sz w:val="17"/>
        </w:rPr>
        <w:t>SELECT blob1 AS campaign_id, count(DISTINCT blob3) AS unique_devices_estimate</w:t>
        <w:br/>
        <w:t>FROM impression_events</w:t>
        <w:br/>
        <w:t>WHERE timestamp &gt; now() - INTERVAL '30' DAY AND blob7 = '1'</w:t>
        <w:br/>
        <w:t>GROUP BY campaign_id;</w:t>
      </w:r>
    </w:p>
    <w:p>
      <w:pPr>
        <w:ind w:left="360"/>
      </w:pPr>
      <w:r>
        <w:rPr>
          <w:rFonts w:ascii="Courier New" w:hAnsi="Courier New"/>
          <w:i/>
          <w:sz w:val="18"/>
        </w:rPr>
        <w:t>count(DISTINCT)</w:t>
      </w:r>
      <w:r>
        <w:t xml:space="preserve"> on a non-index, sampled field is a rough estimate. For</w:t>
      </w:r>
    </w:p>
    <w:p>
      <w:pPr>
        <w:ind w:left="360"/>
      </w:pPr>
      <w:r>
        <w:rPr>
          <w:i/>
        </w:rPr>
        <w:t>accreditable reach/frequency, derive it from the unsampled dedup store or the</w:t>
      </w:r>
    </w:p>
    <w:p>
      <w:pPr>
        <w:ind w:left="360"/>
      </w:pPr>
      <w:r>
        <w:rPr>
          <w:i/>
        </w:rPr>
        <w:t>raw R2 rows — not from AE.</w:t>
      </w:r>
    </w:p>
    <w:p>
      <w:r>
        <w:rPr>
          <w:b/>
        </w:rPr>
        <w:t>Sampling.</w:t>
      </w:r>
      <w:r>
        <w:t xml:space="preserve"> Analytics Engine samples at </w:t>
      </w:r>
      <w:r>
        <w:rPr>
          <w:b/>
        </w:rPr>
        <w:t>both write and read time</w:t>
      </w:r>
      <w:r>
        <w:t>. The</w:t>
      </w:r>
    </w:p>
    <w:p>
      <w:r>
        <w:rPr>
          <w:rFonts w:ascii="Courier New" w:hAnsi="Courier New"/>
          <w:sz w:val="18"/>
        </w:rPr>
        <w:t>_sample_interval</w:t>
      </w:r>
      <w:r>
        <w:t xml:space="preserve"> column is the per-row weight and </w:t>
      </w:r>
      <w:r>
        <w:rPr>
          <w:b/>
        </w:rPr>
        <w:t>must</w:t>
      </w:r>
      <w:r>
        <w:t xml:space="preserve"> be used in</w:t>
      </w:r>
    </w:p>
    <w:p>
      <w:r>
        <w:t xml:space="preserve">aggregations — </w:t>
      </w:r>
      <w:r>
        <w:rPr>
          <w:rFonts w:ascii="Courier New" w:hAnsi="Courier New"/>
          <w:sz w:val="18"/>
        </w:rPr>
        <w:t>sum(_sample_interval)</w:t>
      </w:r>
      <w:r>
        <w:t xml:space="preserve"> for counts, </w:t>
      </w:r>
      <w:r>
        <w:rPr>
          <w:rFonts w:ascii="Courier New" w:hAnsi="Courier New"/>
          <w:sz w:val="18"/>
        </w:rPr>
        <w:t>sum(x * _sample_interval)</w:t>
      </w:r>
    </w:p>
    <w:p>
      <w:r>
        <w:t>for sums.</w:t>
      </w:r>
    </w:p>
    <w:p>
      <w:pPr>
        <w:pStyle w:val="Heading3"/>
      </w:pPr>
      <w:r>
        <w:t>7. Operational Considerations</w:t>
      </w:r>
    </w:p>
    <w:p>
      <w:pPr>
        <w:pStyle w:val="Heading4"/>
      </w:pPr>
      <w:r>
        <w:t>7.1 Monitoring and Alerting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Alert 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Request error rate</w:t>
            </w:r>
          </w:p>
        </w:tc>
        <w:tc>
          <w:tcPr>
            <w:tcW w:type="dxa" w:w="2880"/>
          </w:tcPr>
          <w:p>
            <w:r>
              <w:t>&gt; 1%</w:t>
            </w:r>
          </w:p>
        </w:tc>
        <w:tc>
          <w:tcPr>
            <w:tcW w:type="dxa" w:w="2880"/>
          </w:tcPr>
          <w:p>
            <w:r>
              <w:t>Investigate Worker code</w:t>
            </w:r>
          </w:p>
        </w:tc>
      </w:tr>
      <w:tr>
        <w:tc>
          <w:tcPr>
            <w:tcW w:type="dxa" w:w="2880"/>
          </w:tcPr>
          <w:p>
            <w:r>
              <w:t>Request latency (p95)</w:t>
            </w:r>
          </w:p>
        </w:tc>
        <w:tc>
          <w:tcPr>
            <w:tcW w:type="dxa" w:w="2880"/>
          </w:tcPr>
          <w:p>
            <w:r>
              <w:t>&gt; 200ms</w:t>
            </w:r>
          </w:p>
        </w:tc>
        <w:tc>
          <w:tcPr>
            <w:tcW w:type="dxa" w:w="2880"/>
          </w:tcPr>
          <w:p>
            <w:r>
              <w:t>Check Worker performance</w:t>
            </w:r>
          </w:p>
        </w:tc>
      </w:tr>
      <w:tr>
        <w:tc>
          <w:tcPr>
            <w:tcW w:type="dxa" w:w="2880"/>
          </w:tcPr>
          <w:p>
            <w:r>
              <w:t>Daily impression volume</w:t>
            </w:r>
          </w:p>
        </w:tc>
        <w:tc>
          <w:tcPr>
            <w:tcW w:type="dxa" w:w="2880"/>
          </w:tcPr>
          <w:p>
            <w:r>
              <w:t>±20% deviation</w:t>
            </w:r>
          </w:p>
        </w:tc>
        <w:tc>
          <w:tcPr>
            <w:tcW w:type="dxa" w:w="2880"/>
          </w:tcPr>
          <w:p>
            <w:r>
              <w:t>Investigate campaign changes</w:t>
            </w:r>
          </w:p>
        </w:tc>
      </w:tr>
      <w:tr>
        <w:tc>
          <w:tcPr>
            <w:tcW w:type="dxa" w:w="2880"/>
          </w:tcPr>
          <w:p>
            <w:r>
              <w:t>Counted/received ratio (reconciliation)</w:t>
            </w:r>
          </w:p>
        </w:tc>
        <w:tc>
          <w:tcPr>
            <w:tcW w:type="dxa" w:w="2880"/>
          </w:tcPr>
          <w:p>
            <w:r>
              <w:t>&lt; 50%</w:t>
            </w:r>
          </w:p>
        </w:tc>
        <w:tc>
          <w:tcPr>
            <w:tcW w:type="dxa" w:w="2880"/>
          </w:tcPr>
          <w:p>
            <w:r>
              <w:t>Surge of rejects/dupes — investigate tags</w:t>
            </w:r>
          </w:p>
        </w:tc>
      </w:tr>
      <w:tr>
        <w:tc>
          <w:tcPr>
            <w:tcW w:type="dxa" w:w="2880"/>
          </w:tcPr>
          <w:p>
            <w:r>
              <w:t>Export freshness</w:t>
            </w:r>
          </w:p>
        </w:tc>
        <w:tc>
          <w:tcPr>
            <w:tcW w:type="dxa" w:w="2880"/>
          </w:tcPr>
          <w:p>
            <w:r>
              <w:t>No new export by 03:00 UTC</w:t>
            </w:r>
          </w:p>
        </w:tc>
        <w:tc>
          <w:tcPr>
            <w:tcW w:type="dxa" w:w="2880"/>
          </w:tcPr>
          <w:p>
            <w:r>
              <w:t>Re-run / backfill export</w:t>
            </w:r>
          </w:p>
        </w:tc>
      </w:tr>
    </w:tbl>
    <w:p/>
    <w:p>
      <w:r>
        <w:rPr>
          <w:rFonts w:ascii="Courier New" w:hAnsi="Courier New"/>
          <w:sz w:val="18"/>
        </w:rPr>
        <w:t>writeDataPoint()</w:t>
      </w:r>
      <w:r>
        <w:t xml:space="preserve"> is fire-and-forget and returns no status. We </w:t>
      </w:r>
      <w:r>
        <w:rPr>
          <w:b/>
        </w:rPr>
        <w:t>reconcile</w:t>
      </w:r>
      <w:r>
        <w:t xml:space="preserve"> via</w:t>
      </w:r>
    </w:p>
    <w:p>
      <w:r>
        <w:t xml:space="preserve">a separate </w:t>
      </w:r>
      <w:r>
        <w:rPr>
          <w:rFonts w:ascii="Courier New" w:hAnsi="Courier New"/>
          <w:sz w:val="18"/>
        </w:rPr>
        <w:t>ingest_recon</w:t>
      </w:r>
      <w:r>
        <w:t xml:space="preserve"> dataset (</w:t>
      </w:r>
      <w:r>
        <w:rPr>
          <w:rFonts w:ascii="Courier New" w:hAnsi="Courier New"/>
          <w:sz w:val="18"/>
        </w:rPr>
        <w:t>received</w:t>
      </w:r>
      <w:r>
        <w:t xml:space="preserve"> vs </w:t>
      </w:r>
      <w:r>
        <w:rPr>
          <w:rFonts w:ascii="Courier New" w:hAnsi="Courier New"/>
          <w:sz w:val="18"/>
        </w:rPr>
        <w:t>counted</w:t>
      </w:r>
      <w:r>
        <w:t xml:space="preserve"> vs </w:t>
      </w:r>
      <w:r>
        <w:rPr>
          <w:rFonts w:ascii="Courier New" w:hAnsi="Courier New"/>
          <w:sz w:val="18"/>
        </w:rPr>
        <w:t>duplicate</w:t>
      </w:r>
      <w:r>
        <w:t xml:space="preserve"> vs</w:t>
      </w:r>
    </w:p>
    <w:p>
      <w:r>
        <w:rPr>
          <w:rFonts w:ascii="Courier New" w:hAnsi="Courier New"/>
          <w:sz w:val="18"/>
        </w:rPr>
        <w:t>reject_*</w:t>
      </w:r>
      <w:r>
        <w:t>) and alert on the counted ratio and export freshness.</w:t>
      </w:r>
    </w:p>
    <w:p>
      <w:pPr>
        <w:pStyle w:val="Heading4"/>
      </w:pPr>
      <w:r>
        <w:t>7.2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Impression spoofing</w:t>
            </w:r>
          </w:p>
        </w:tc>
        <w:tc>
          <w:tcPr>
            <w:tcW w:type="dxa" w:w="4320"/>
          </w:tcPr>
          <w:p>
            <w:r>
              <w:t>HMAC-signed tag URLs with expiry; signature binds `campaign\</w:t>
            </w:r>
          </w:p>
        </w:tc>
      </w:tr>
      <w:tr>
        <w:tc>
          <w:tcPr>
            <w:tcW w:type="dxa" w:w="4320"/>
          </w:tcPr>
          <w:p>
            <w:r>
              <w:t>Tag hijacking / injection</w:t>
            </w:r>
          </w:p>
        </w:tc>
        <w:tc>
          <w:tcPr>
            <w:tcW w:type="dxa" w:w="4320"/>
          </w:tcPr>
          <w:p>
            <w:r>
              <w:t>Validate + allowlist campaign_id/creative_id; format-check all params</w:t>
            </w:r>
          </w:p>
        </w:tc>
      </w:tr>
      <w:tr>
        <w:tc>
          <w:tcPr>
            <w:tcW w:type="dxa" w:w="4320"/>
          </w:tcPr>
          <w:p>
            <w:r>
              <w:t>Replay</w:t>
            </w:r>
          </w:p>
        </w:tc>
        <w:tc>
          <w:tcPr>
            <w:tcW w:type="dxa" w:w="4320"/>
          </w:tcPr>
          <w:p>
            <w:r>
              <w:t>Dedup store (Durable Object) rejects repeats within the window</w:t>
            </w:r>
          </w:p>
        </w:tc>
      </w:tr>
      <w:tr>
        <w:tc>
          <w:tcPr>
            <w:tcW w:type="dxa" w:w="4320"/>
          </w:tcPr>
          <w:p>
            <w:r>
              <w:t>DDoS</w:t>
            </w:r>
          </w:p>
        </w:tc>
        <w:tc>
          <w:tcPr>
            <w:tcW w:type="dxa" w:w="4320"/>
          </w:tcPr>
          <w:p>
            <w:r>
              <w:t>Cloudflare DDoS protection (add per-IP/IFA rate limiting for low-and-slow inflation)</w:t>
            </w:r>
          </w:p>
        </w:tc>
      </w:tr>
      <w:tr>
        <w:tc>
          <w:tcPr>
            <w:tcW w:type="dxa" w:w="4320"/>
          </w:tcPr>
          <w:p>
            <w:r>
              <w:t>Data privacy</w:t>
            </w:r>
          </w:p>
        </w:tc>
        <w:tc>
          <w:tcPr>
            <w:tcW w:type="dxa" w:w="4320"/>
          </w:tcPr>
          <w:p>
            <w:r>
              <w:t>IFA is salted-hashed, never stored raw; raw device IP not persisted; lmt=1 honored</w:t>
            </w:r>
          </w:p>
        </w:tc>
      </w:tr>
      <w:tr>
        <w:tc>
          <w:tcPr>
            <w:tcW w:type="dxa" w:w="4320"/>
          </w:tcPr>
          <w:p>
            <w:r>
              <w:t>Unauthorized read access</w:t>
            </w:r>
          </w:p>
        </w:tc>
        <w:tc>
          <w:tcPr>
            <w:tcW w:type="dxa" w:w="4320"/>
          </w:tcPr>
          <w:p>
            <w:r>
              <w:t>AE SQL API token scoped to "Account Analytics Read"; stored as a secret</w:t>
            </w:r>
          </w:p>
        </w:tc>
      </w:tr>
    </w:tbl>
    <w:p/>
    <w:p>
      <w:r>
        <w:t>We are not MRC/IAB-accredited and do not perform accredited invalid-traffic</w:t>
      </w:r>
    </w:p>
    <w:p>
      <w:r>
        <w:t>(GIVT/SIVT) filtration beyond input validation, signature verification, and</w:t>
      </w:r>
    </w:p>
    <w:p>
      <w:r>
        <w:t xml:space="preserve">deduplication. See </w:t>
      </w:r>
      <w:r>
        <w:rPr>
          <w:rFonts w:ascii="Courier New" w:hAnsi="Courier New"/>
          <w:sz w:val="18"/>
        </w:rPr>
        <w:t>docs/UA_PRIVACY.md</w:t>
      </w:r>
      <w:r>
        <w:t>.</w:t>
      </w:r>
    </w:p>
    <w:p>
      <w:pPr>
        <w:pStyle w:val="Heading4"/>
      </w:pPr>
      <w:r>
        <w:t>7.3 Data Retention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Storage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Call-matching store (Durable Object)</w:t>
            </w:r>
          </w:p>
        </w:tc>
        <w:tc>
          <w:tcPr>
            <w:tcW w:type="dxa" w:w="2880"/>
          </w:tcPr>
          <w:p>
            <w:r>
              <w:t>~60 min (attribution window)</w:t>
            </w:r>
          </w:p>
        </w:tc>
        <w:tc>
          <w:tcPr>
            <w:tcW w:type="dxa" w:w="2880"/>
          </w:tcPr>
          <w:p>
            <w:r>
              <w:t>Raw IP/IFA for call matching only</w:t>
            </w:r>
          </w:p>
        </w:tc>
      </w:tr>
      <w:tr>
        <w:tc>
          <w:tcPr>
            <w:tcW w:type="dxa" w:w="2880"/>
          </w:tcPr>
          <w:p>
            <w:r>
              <w:t>Analytics Engine</w:t>
            </w:r>
          </w:p>
        </w:tc>
        <w:tc>
          <w:tcPr>
            <w:tcW w:type="dxa" w:w="2880"/>
          </w:tcPr>
          <w:p>
            <w:r>
              <w:t>3 months (platform fixed)</w:t>
            </w:r>
          </w:p>
        </w:tc>
        <w:tc>
          <w:tcPr>
            <w:tcW w:type="dxa" w:w="2880"/>
          </w:tcPr>
          <w:p>
            <w:r>
              <w:t>Real-time dashboards</w:t>
            </w:r>
          </w:p>
        </w:tc>
      </w:tr>
      <w:tr>
        <w:tc>
          <w:tcPr>
            <w:tcW w:type="dxa" w:w="2880"/>
          </w:tcPr>
          <w:p>
            <w:r>
              <w:t>R2 (aggregated)</w:t>
            </w:r>
          </w:p>
        </w:tc>
        <w:tc>
          <w:tcPr>
            <w:tcW w:type="dxa" w:w="2880"/>
          </w:tcPr>
          <w:p>
            <w:r>
              <w:t>13 months (no raw IFA)</w:t>
            </w:r>
          </w:p>
        </w:tc>
        <w:tc>
          <w:tcPr>
            <w:tcW w:type="dxa" w:w="2880"/>
          </w:tcPr>
          <w:p>
            <w:r>
              <w:t>Long-term trends</w:t>
            </w:r>
          </w:p>
        </w:tc>
      </w:tr>
      <w:tr>
        <w:tc>
          <w:tcPr>
            <w:tcW w:type="dxa" w:w="2880"/>
          </w:tcPr>
          <w:p>
            <w:r>
              <w:t>R2 (raw, hashed IFA)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  <w:tc>
          <w:tcPr>
            <w:tcW w:type="dxa" w:w="2880"/>
          </w:tcPr>
          <w:p>
            <w:r>
              <w:t>Reach/frequency, debugging, replay</w:t>
            </w:r>
          </w:p>
        </w:tc>
      </w:tr>
    </w:tbl>
    <w:p/>
    <w:p>
      <w:r>
        <w:t>Universal Ads remains the system of record for delivered impressions; our counts</w:t>
      </w:r>
    </w:p>
    <w:p>
      <w:r>
        <w:t>are an independent measurement layer. Impression/attribution data held by UA is</w:t>
      </w:r>
    </w:p>
    <w:p>
      <w:r>
        <w:t>governed by UA under its own policies (attribution windows of 7 / 14 / 30 days).</w:t>
      </w:r>
    </w:p>
    <w:p>
      <w:pPr>
        <w:pStyle w:val="Heading3"/>
      </w:pPr>
      <w:r>
        <w:t>8. Cost Analysis (infrastructure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 (30M impressions)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t>Workers Requests</w:t>
            </w:r>
          </w:p>
        </w:tc>
        <w:tc>
          <w:tcPr>
            <w:tcW w:type="dxa" w:w="2880"/>
          </w:tcPr>
          <w:p>
            <w:r>
              <w:t>~$5–9</w:t>
            </w:r>
          </w:p>
        </w:tc>
        <w:tc>
          <w:tcPr>
            <w:tcW w:type="dxa" w:w="2880"/>
          </w:tcPr>
          <w:p>
            <w:r>
              <w:t>30M requests; $0.30/M after 10M included</w:t>
            </w:r>
          </w:p>
        </w:tc>
      </w:tr>
      <w:tr>
        <w:tc>
          <w:tcPr>
            <w:tcW w:type="dxa" w:w="2880"/>
          </w:tcPr>
          <w:p>
            <w:r>
              <w:t>Analytics Engine Writes</w:t>
            </w:r>
          </w:p>
        </w:tc>
        <w:tc>
          <w:tcPr>
            <w:tcW w:type="dxa" w:w="2880"/>
          </w:tcPr>
          <w:p>
            <w:r>
              <w:t>~$12.50</w:t>
            </w:r>
          </w:p>
        </w:tc>
        <w:tc>
          <w:tcPr>
            <w:tcW w:type="dxa" w:w="2880"/>
          </w:tcPr>
          <w:p>
            <w:r>
              <w:t>~60M data points (2 per impression)</w:t>
            </w:r>
          </w:p>
        </w:tc>
      </w:tr>
      <w:tr>
        <w:tc>
          <w:tcPr>
            <w:tcW w:type="dxa" w:w="2880"/>
          </w:tcPr>
          <w:p>
            <w:r>
              <w:t>Analytics Engine Queries</w:t>
            </w:r>
          </w:p>
        </w:tc>
        <w:tc>
          <w:tcPr>
            <w:tcW w:type="dxa" w:w="2880"/>
          </w:tcPr>
          <w:p>
            <w:r>
              <w:t>~$1–5</w:t>
            </w:r>
          </w:p>
        </w:tc>
        <w:tc>
          <w:tcPr>
            <w:tcW w:type="dxa" w:w="2880"/>
          </w:tcPr>
          <w:p>
            <w:r>
              <w:t>Per-query</w:t>
            </w:r>
          </w:p>
        </w:tc>
      </w:tr>
      <w:tr>
        <w:tc>
          <w:tcPr>
            <w:tcW w:type="dxa" w:w="2880"/>
          </w:tcPr>
          <w:p>
            <w:r>
              <w:t>R2 Storage</w:t>
            </w:r>
          </w:p>
        </w:tc>
        <w:tc>
          <w:tcPr>
            <w:tcW w:type="dxa" w:w="2880"/>
          </w:tcPr>
          <w:p>
            <w:r>
              <w:t>~$15</w:t>
            </w:r>
          </w:p>
        </w:tc>
        <w:tc>
          <w:tcPr>
            <w:tcW w:type="dxa" w:w="2880"/>
          </w:tcPr>
          <w:p>
            <w:r>
              <w:t>~1 TB, $0.015/GB-mo</w:t>
            </w:r>
          </w:p>
        </w:tc>
      </w:tr>
      <w:tr>
        <w:tc>
          <w:tcPr>
            <w:tcW w:type="dxa" w:w="2880"/>
          </w:tcPr>
          <w:p>
            <w:r>
              <w:t>Total (infrastructure)</w:t>
            </w:r>
          </w:p>
        </w:tc>
        <w:tc>
          <w:tcPr>
            <w:tcW w:type="dxa" w:w="2880"/>
          </w:tcPr>
          <w:p>
            <w:r>
              <w:t>~$35–45/month</w:t>
            </w:r>
          </w:p>
        </w:tc>
        <w:tc>
          <w:tcPr>
            <w:tcW w:type="dxa" w:w="2880"/>
          </w:tcPr>
          <w:p>
            <w:r>
              <w:t>Order-of-magnitude</w:t>
            </w:r>
          </w:p>
        </w:tc>
      </w:tr>
    </w:tbl>
    <w:p/>
    <w:p>
      <w:r>
        <w:t>This is *infrastructure cost*, not total cost of equivalent accredited</w:t>
      </w:r>
    </w:p>
    <w:p>
      <w:r>
        <w:t>measurement.</w:t>
      </w:r>
    </w:p>
    <w:p>
      <w:pPr>
        <w:pStyle w:val="Heading3"/>
      </w:pPr>
      <w:r>
        <w:t>12.5 Call-to-Impression Attribution (Universal Ads CAPI)</w:t>
      </w:r>
    </w:p>
    <w:p>
      <w:r>
        <w:t xml:space="preserve">The system attributes </w:t>
      </w:r>
      <w:r>
        <w:rPr>
          <w:b/>
        </w:rPr>
        <w:t>inbound phone calls</w:t>
      </w:r>
      <w:r>
        <w:t xml:space="preserve"> (one tracking number per creative)</w:t>
      </w:r>
    </w:p>
    <w:p>
      <w:r>
        <w:t>back to impressions and fires conversions to the **Universal Ads Conversions</w:t>
      </w:r>
    </w:p>
    <w:p>
      <w:r>
        <w:t>API</w:t>
      </w:r>
      <w:r>
        <w:rPr>
          <w:b/>
        </w:rPr>
        <w:t xml:space="preserve">. Because a call provides </w:t>
      </w:r>
      <w:r>
        <w:t>only the caller's phone number — no device ID**,</w:t>
      </w:r>
    </w:p>
    <w:p>
      <w:r>
        <w:t xml:space="preserve">matching is </w:t>
      </w:r>
      <w:r>
        <w:rPr>
          <w:b/>
        </w:rPr>
        <w:t>probabilistic</w:t>
      </w:r>
      <w:r>
        <w:t>: the dialed number maps to a creative, and we</w:t>
      </w:r>
    </w:p>
    <w:p>
      <w:r>
        <w:t>select the best-guess in-window impression (scored by time proximity + coarse</w:t>
      </w:r>
    </w:p>
    <w:p>
      <w:r>
        <w:t>area-code geo) and send UA its IFA / household ID + IP + a confidence score. When</w:t>
      </w:r>
    </w:p>
    <w:p>
      <w:r>
        <w:t>no impression is in-window, we fall back to the hashed caller phone so the</w:t>
      </w:r>
    </w:p>
    <w:p>
      <w:r>
        <w:t xml:space="preserve">conversion still fires. A short-lived </w:t>
      </w:r>
      <w:r>
        <w:rPr>
          <w:rFonts w:ascii="Courier New" w:hAnsi="Courier New"/>
          <w:sz w:val="18"/>
        </w:rPr>
        <w:t>RecentImpressions</w:t>
      </w:r>
      <w:r>
        <w:t xml:space="preserve"> Durable Object holds</w:t>
      </w:r>
    </w:p>
    <w:p>
      <w:r>
        <w:t>raw IP/IFA for the attribution window only.</w:t>
      </w:r>
    </w:p>
    <w:p>
      <w:r>
        <w:t>Full design, CAPI payload mapping, PBX webhook contract, and accuracy notes are</w:t>
      </w:r>
    </w:p>
    <w:p>
      <w:r>
        <w:t xml:space="preserve">in </w:t>
      </w:r>
      <w:r>
        <w:rPr>
          <w:b/>
        </w:rPr>
        <w:t>`docs/UA_ATTRIBUTION.md`</w:t>
      </w:r>
      <w:r>
        <w:t>.</w:t>
      </w:r>
    </w:p>
    <w:p>
      <w:pPr>
        <w:ind w:left="360"/>
      </w:pPr>
      <w:r>
        <w:rPr>
          <w:b/>
          <w:i/>
        </w:rPr>
        <w:t>Probabilistic, not deterministic.</w:t>
      </w:r>
      <w:r>
        <w:t xml:space="preserve"> The IFA/IP sent to UA is a best guess,</w:t>
      </w:r>
    </w:p>
    <w:p>
      <w:pPr>
        <w:ind w:left="360"/>
      </w:pPr>
      <w:r>
        <w:rPr>
          <w:i/>
        </w:rPr>
        <w:t>not a confirmed device; the confidence score reflects this.</w:t>
      </w:r>
    </w:p>
    <w:p>
      <w:pPr>
        <w:pStyle w:val="Heading3"/>
      </w:pPr>
      <w:r>
        <w:t>13. Scope &amp; Non-Goals</w:t>
      </w:r>
    </w:p>
    <w:p>
      <w:r>
        <w:rPr>
          <w:b/>
        </w:rPr>
        <w:t>This system IS:</w:t>
      </w:r>
      <w:r>
        <w:t xml:space="preserve"> a first-party, owned, low-cost pipeline for </w:t>
      </w:r>
      <w:r>
        <w:rPr>
          <w:b/>
        </w:rPr>
        <w:t>aggregate</w:t>
      </w:r>
    </w:p>
    <w:p>
      <w:r>
        <w:t>CTV/Linear impression telemetry, with authenticity (HMAC), deduplication, and</w:t>
      </w:r>
    </w:p>
    <w:p>
      <w:r>
        <w:t xml:space="preserve">privacy controls, </w:t>
      </w:r>
      <w:r>
        <w:rPr>
          <w:b/>
        </w:rPr>
        <w:t>plus probabilistic call-to-impression attribution</w:t>
      </w:r>
      <w:r>
        <w:t xml:space="preserve"> that</w:t>
      </w:r>
    </w:p>
    <w:p>
      <w:r>
        <w:t xml:space="preserve">fires conversions to Universal Ads CAPI (see </w:t>
      </w:r>
      <w:r>
        <w:rPr>
          <w:rFonts w:ascii="Courier New" w:hAnsi="Courier New"/>
          <w:sz w:val="18"/>
        </w:rPr>
        <w:t>docs/UA_ATTRIBUTION.md</w:t>
      </w:r>
      <w:r>
        <w:t>).</w:t>
      </w:r>
    </w:p>
    <w:p>
      <w:r>
        <w:rPr>
          <w:b/>
        </w:rPr>
        <w:t>This system is NOT:</w:t>
      </w:r>
    </w:p>
    <w:p>
      <w:pPr>
        <w:pStyle w:val="ListBullet"/>
      </w:pPr>
      <w:r>
        <w:rPr>
          <w:b/>
        </w:rPr>
        <w:t>MRC/IAB-accredited.</w:t>
      </w:r>
      <w:r>
        <w:t xml:space="preserve"> Counts are "valid, deduplicated, signed beacons," not</w:t>
      </w:r>
    </w:p>
    <w:p>
      <w:r>
        <w:t xml:space="preserve">  accredited impressions.</w:t>
      </w:r>
    </w:p>
    <w:p>
      <w:pPr>
        <w:pStyle w:val="ListBullet"/>
      </w:pPr>
      <w:r>
        <w:rPr>
          <w:b/>
        </w:rPr>
        <w:t>Sampled-free.</w:t>
      </w:r>
      <w:r>
        <w:t xml:space="preserve"> AE counts are statistical estimates; use the raw R2 tier for</w:t>
      </w:r>
    </w:p>
    <w:p>
      <w:r>
        <w:t xml:space="preserve">  high-precision/reach.</w:t>
      </w:r>
    </w:p>
    <w:p>
      <w:pPr>
        <w:pStyle w:val="ListBullet"/>
      </w:pPr>
      <w:r>
        <w:rPr>
          <w:b/>
        </w:rPr>
        <w:t>A reach panel or brand-lift product.</w:t>
      </w:r>
    </w:p>
    <w:p>
      <w:r>
        <w:t xml:space="preserve">A </w:t>
      </w:r>
      <w:r>
        <w:rPr>
          <w:b/>
        </w:rPr>
        <w:t>reconciliation pilot</w:t>
      </w:r>
      <w:r>
        <w:t xml:space="preserve"> against Universal Ads' own ad-server counts is</w:t>
      </w:r>
    </w:p>
    <w:p>
      <w:r>
        <w:t>recommended before this becomes a system of record.</w:t>
      </w:r>
    </w:p>
    <w:p>
      <w:pPr>
        <w:pStyle w:val="Heading3"/>
      </w:pPr>
      <w:r>
        <w:t>14. Open Items — [CONFIRM WITH UA]</w:t>
      </w:r>
    </w:p>
    <w:p>
      <w:pPr>
        <w:pStyle w:val="ListBullet"/>
      </w:pPr>
      <w:r>
        <w:t>Exact IAB/VAST macro tokens available on UA/FreeWheel inventory.</w:t>
      </w:r>
    </w:p>
    <w:p>
      <w:pPr>
        <w:pStyle w:val="ListBullet"/>
      </w:pPr>
      <w:r>
        <w:t>Whether partner-supplied impression trackers are permitted per creative, and</w:t>
      </w:r>
    </w:p>
    <w:p>
      <w:r>
        <w:t xml:space="preserve">  the tracker limit.</w:t>
      </w:r>
    </w:p>
    <w:p>
      <w:pPr>
        <w:pStyle w:val="ListBullet"/>
      </w:pPr>
      <w:r>
        <w:t>Whether a household ID is exposed to partner impression trackers.</w:t>
      </w:r>
    </w:p>
    <w:p>
      <w:pPr>
        <w:pStyle w:val="ListBullet"/>
      </w:pPr>
      <w:r>
        <w:t>Universal Ads Conversions API endpoint, authentication, event schema, and</w:t>
      </w:r>
    </w:p>
    <w:p>
      <w:r>
        <w:t xml:space="preserve">  dedup key.</w:t>
      </w:r>
    </w:p>
    <w:p>
      <w:pPr>
        <w:pStyle w:val="ListBullet"/>
      </w:pPr>
      <w:r>
        <w:t>Certification steps and any authenticity/watermark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