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8" w:val="clear"/>
            <w:tcMar>
              <w:top w:type="dxa" w:w="440"/>
              <w:left w:type="dxa" w:w="400"/>
              <w:bottom w:type="dxa" w:w="440"/>
              <w:right w:type="dxa" w:w="400"/>
            </w:tcMar>
          </w:tcPr>
          <w:p>
            <w:pPr>
              <w:spacing w:after="60"/>
            </w:pPr>
            <w:r>
              <w:rPr>
                <w:rFonts w:ascii="Arial" w:cs="Arial" w:eastAsia="Arial" w:hAnsi="Arial"/>
                <w:b/>
                <w:bCs/>
                <w:color w:val="DDEBF7"/>
                <w:sz w:val="22"/>
                <w:szCs w:val="22"/>
              </w:rPr>
              <w:t xml:space="preserve">LUMINA STREAMING CO.</w:t>
            </w:r>
          </w:p>
          <w:p>
            <w:pPr>
              <w:spacing w:after="200"/>
            </w:pPr>
            <w:r>
              <w:rPr>
                <w:rFonts w:ascii="Arial" w:cs="Arial" w:eastAsia="Arial" w:hAnsi="Arial"/>
                <w:color w:val="DDEBF7"/>
                <w:sz w:val="18"/>
                <w:szCs w:val="18"/>
              </w:rPr>
              <w:t xml:space="preserve">Technical Documentation</w:t>
            </w:r>
          </w:p>
          <w:p>
            <w:pPr>
              <w:spacing w:after="100"/>
            </w:pPr>
            <w:r>
              <w:rPr>
                <w:rFonts w:ascii="Arial" w:cs="Arial" w:eastAsia="Arial" w:hAnsi="Arial"/>
                <w:b/>
                <w:bCs/>
                <w:color w:val="FFFFFF"/>
                <w:sz w:val="52"/>
                <w:szCs w:val="52"/>
              </w:rPr>
              <w:t xml:space="preserve">Balance Sheet Reconciliation</w:t>
            </w:r>
          </w:p>
          <w:p>
            <w:pPr>
              <w:spacing w:after="240"/>
            </w:pPr>
            <w:r>
              <w:rPr>
                <w:rFonts w:ascii="Arial" w:cs="Arial" w:eastAsia="Arial" w:hAnsi="Arial"/>
                <w:b/>
                <w:bCs/>
                <w:color w:val="FFFFFF"/>
                <w:sz w:val="52"/>
                <w:szCs w:val="52"/>
              </w:rPr>
              <w:t xml:space="preserve">Agent System</w:t>
            </w:r>
          </w:p>
          <w:p>
            <w:pPr>
              <w:spacing w:after="80"/>
            </w:pPr>
            <w:r>
              <w:rPr>
                <w:rFonts w:ascii="Arial" w:cs="Arial" w:eastAsia="Arial" w:hAnsi="Arial"/>
                <w:i/>
                <w:iCs/>
                <w:color w:val="DDEBF7"/>
                <w:sz w:val="22"/>
                <w:szCs w:val="22"/>
              </w:rPr>
              <w:t xml:space="preserve">A multi-agent AI system for month-end balance sheet account reconciliations.</w:t>
            </w:r>
          </w:p>
          <w:p>
            <w:pPr>
              <w:spacing w:after="0"/>
            </w:pPr>
            <w:r>
              <w:rPr>
                <w:rFonts w:ascii="Arial" w:cs="Arial" w:eastAsia="Arial" w:hAnsi="Arial"/>
                <w:i/>
                <w:iCs/>
                <w:color w:val="DDEBF7"/>
                <w:sz w:val="20"/>
                <w:szCs w:val="20"/>
              </w:rPr>
              <w:t xml:space="preserve">Covers bank, intercompany, prepaids, accruals, fixed assets, AR/AP, and deferred revenue.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8"/>
                <w:sz w:val="20"/>
                <w:szCs w:val="20"/>
              </w:rPr>
              <w:t xml:space="preserve">Version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v0.1.0 — Initial Build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8"/>
                <w:sz w:val="20"/>
                <w:szCs w:val="20"/>
              </w:rPr>
              <w:t xml:space="preserve">Period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November 2026</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8"/>
                <w:sz w:val="20"/>
                <w:szCs w:val="20"/>
              </w:rPr>
              <w:t xml:space="preserve">Entity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LuminaUS (primary) · LuminaEMEA · LuminaAPAC</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8"/>
                <w:sz w:val="20"/>
                <w:szCs w:val="20"/>
              </w:rPr>
              <w:t xml:space="preserve">Classification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 — Finance &amp; Audit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8"/>
                <w:sz w:val="20"/>
                <w:szCs w:val="20"/>
              </w:rPr>
              <w:t xml:space="preserve">Built with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Anthropic Claude · Claude Projects · Claude Code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8"/>
                <w:sz w:val="20"/>
                <w:szCs w:val="20"/>
              </w:rPr>
              <w:t xml:space="preserve">Related repos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close-system · headcount-agent</w:t>
            </w:r>
          </w:p>
        </w:tc>
      </w:tr>
    </w:tbl>
    <w:p>
      <w:pPr>
        <w:spacing w:after="80"/>
      </w:pPr>
      <w:r>
        <w:t xml:space="preserve"/>
      </w:r>
    </w:p>
    <w:p>
      <w:pPr>
        <w:pageBreakBefore/>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 Executive Summary</w:t>
      </w:r>
    </w:p>
    <w:p>
      <w:pPr>
        <w:spacing w:after="120" w:before="0"/>
      </w:pPr>
      <w:r>
        <w:rPr>
          <w:rFonts w:ascii="Arial" w:cs="Arial" w:eastAsia="Arial" w:hAnsi="Arial"/>
          <w:b w:val="false"/>
          <w:bCs w:val="false"/>
          <w:i w:val="false"/>
          <w:iCs w:val="false"/>
          <w:color w:val="1A1A1A"/>
          <w:sz w:val="20"/>
          <w:szCs w:val="20"/>
        </w:rPr>
        <w:t xml:space="preserve">The Balance Sheet Reconciliation Agent System is a three-agent AI system built on Anthropic Claude that automates the analytical work of month-end balance sheet account reconciliations. It covers every material balance sheet account — bank, intercompany, prepaids, accruals, fixed assets, AR/AP, and deferred revenue — and produces audit-traceable workpapers, exception lists, and proposed adjusting journal entries.</w:t>
      </w:r>
    </w:p>
    <w:p>
      <w:pPr>
        <w:spacing w:after="80"/>
      </w:pPr>
      <w:r>
        <w:t xml:space="preserve"/>
      </w:r>
    </w:p>
    <w:p>
      <w:pPr>
        <w:spacing w:after="120" w:before="0"/>
      </w:pPr>
      <w:r>
        <w:rPr>
          <w:rFonts w:ascii="Arial" w:cs="Arial" w:eastAsia="Arial" w:hAnsi="Arial"/>
          <w:b w:val="false"/>
          <w:bCs w:val="false"/>
          <w:i w:val="false"/>
          <w:iCs w:val="false"/>
          <w:color w:val="1A1A1A"/>
          <w:sz w:val="20"/>
          <w:szCs w:val="20"/>
        </w:rPr>
        <w:t xml:space="preserve">The system does not replace human judgment. Every proposed journal entry requires Controller approval before posting. The agents surface findings; humans decide.</w:t>
      </w:r>
    </w:p>
    <w:p>
      <w:pPr>
        <w:spacing w:after="80"/>
      </w:pPr>
      <w:r>
        <w:t xml:space="preserve"/>
      </w:r>
    </w:p>
    <w:p>
      <w:pPr>
        <w:spacing w:after="120" w:before="0"/>
      </w:pPr>
      <w:r>
        <w:rPr>
          <w:rFonts w:ascii="Arial" w:cs="Arial" w:eastAsia="Arial" w:hAnsi="Arial"/>
          <w:b w:val="false"/>
          <w:bCs w:val="false"/>
          <w:i w:val="false"/>
          <w:iCs w:val="false"/>
          <w:color w:val="1A1A1A"/>
          <w:sz w:val="20"/>
          <w:szCs w:val="20"/>
        </w:rPr>
        <w:t xml:space="preserve">At a typical $1B+ company, the month-end BS rec process consumes 2–4 days of senior accountant and Controller time. This system compresses the first-pass analytical work to hours, freeing the finance team to focus on review, exceptions, and judgment calls rather than mechanical tie-outs.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Traditional Process</w:t>
            </w:r>
          </w:p>
        </w:tc>
        <w:tc>
          <w:tcPr>
            <w:tcW w:type="dxa" w:w="3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With This System</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First-pass rec (all accounts)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business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BD1–BD2 (hours)</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Exception identification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often missed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threshold-driven</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JE proposal turnaround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session</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Audit trail completeness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versioned</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Rec package assembly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BD4–BD5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BD5 (same day)</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2. System Architecture</w:t>
      </w:r>
    </w:p>
    <w:p>
      <w:pPr>
        <w:spacing w:after="120" w:before="0"/>
      </w:pPr>
      <w:r>
        <w:rPr>
          <w:rFonts w:ascii="Arial" w:cs="Arial" w:eastAsia="Arial" w:hAnsi="Arial"/>
          <w:b w:val="false"/>
          <w:bCs w:val="false"/>
          <w:i w:val="false"/>
          <w:iCs w:val="false"/>
          <w:color w:val="1A1A1A"/>
          <w:sz w:val="20"/>
          <w:szCs w:val="20"/>
        </w:rPr>
        <w:t xml:space="preserve">Three agents run sequentially, each building on the output of the previous. The Account Reconciliation Agent runs first and produces the raw findings. The Exception Management Agent takes those findings, ages and triages them, and produces proposed JEs. The Rec Package Agent assembles everything into the deliverable package.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Primary Inputs</w:t>
            </w:r>
          </w:p>
        </w:tc>
        <w:tc>
          <w:tcPr>
            <w:tcW w:type="dxa" w:w="2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Primary Outputs</w:t>
            </w:r>
          </w:p>
        </w:tc>
      </w:tr>
      <w:tr>
        <w:tc>
          <w:tcPr>
            <w:tcW w:type="dxa" w:w="1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Account Reconciliation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Reconciles all BS accounts. Ties GL to support documentation. Identifies reconciling items.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Trial balance, bank statements, sub-ledger aging, accrual schedules, prepaid schedules, IC matrix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Workpapers (xlsx), rec memos (md), proposed JEs, output envelope (JSON)</w:t>
            </w:r>
          </w:p>
        </w:tc>
      </w:tr>
      <w:tr>
        <w:tc>
          <w:tcPr>
            <w:tcW w:type="dxa" w:w="1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Exception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Ages and triages open reconciling items. Escalates based on materiality thresholds. Tracks resolution across periods.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Workpapers from Rec Agent, prior period exception log, config thresholds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Exception log (xlsx), escalation memos, JE approval routing</w:t>
            </w:r>
          </w:p>
        </w:tc>
      </w:tr>
      <w:tr>
        <w:tc>
          <w:tcPr>
            <w:tcW w:type="dxa" w:w="1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Rec 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Assembles the monthly rec package. Produces the summary dashboard, workpaper index, and CFO sign-off matrix.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upstream agent outputs, materiality config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 package summary (xlsx), sign-off matrix (xlsx), CFO memo (md)</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2.1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Business Day</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Activity</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BD1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Trial balance available. Account Reconciliation Agent begins bank and IC recs.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BD2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 Reconciliation Agent completes all rec types. Output envelopes returned.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BD3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Exception Management Agent runs. JEs proposed and routed for approval. Controller reviews.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BD4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Approved JEs posted. Account Reconciliation Agent re-runs affected accounts.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BD5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 Package Agent assembles final package. CFO sign-off obtained.</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2.2 Design principles</w:t>
      </w:r>
    </w:p>
    <w:p>
      <w:pPr>
        <w:pStyle w:val="ListParagraph"/>
        <w:numPr>
          <w:ilvl w:val="0"/>
          <w:numId w:val="2"/>
        </w:numPr>
        <w:spacing w:after="60"/>
      </w:pPr>
      <w:r>
        <w:rPr>
          <w:rFonts w:ascii="Arial" w:cs="Arial" w:eastAsia="Arial" w:hAnsi="Arial"/>
          <w:color w:val="1A1A1A"/>
          <w:sz w:val="20"/>
          <w:szCs w:val="20"/>
        </w:rPr>
        <w:t xml:space="preserve">Agent proposes, human disposes. No JE is posted without Controller approval.</w:t>
      </w:r>
    </w:p>
    <w:p>
      <w:pPr>
        <w:pStyle w:val="ListParagraph"/>
        <w:numPr>
          <w:ilvl w:val="0"/>
          <w:numId w:val="2"/>
        </w:numPr>
        <w:spacing w:after="60"/>
      </w:pPr>
      <w:r>
        <w:rPr>
          <w:rFonts w:ascii="Arial" w:cs="Arial" w:eastAsia="Arial" w:hAnsi="Arial"/>
          <w:color w:val="1A1A1A"/>
          <w:sz w:val="20"/>
          <w:szCs w:val="20"/>
        </w:rPr>
        <w:t xml:space="preserve">Cite every source. Every number in every workpaper traces to an input file and specific cell.</w:t>
      </w:r>
    </w:p>
    <w:p>
      <w:pPr>
        <w:pStyle w:val="ListParagraph"/>
        <w:numPr>
          <w:ilvl w:val="0"/>
          <w:numId w:val="2"/>
        </w:numPr>
        <w:spacing w:after="60"/>
      </w:pPr>
      <w:r>
        <w:rPr>
          <w:rFonts w:ascii="Arial" w:cs="Arial" w:eastAsia="Arial" w:hAnsi="Arial"/>
          <w:color w:val="1A1A1A"/>
          <w:sz w:val="20"/>
          <w:szCs w:val="20"/>
        </w:rPr>
        <w:t xml:space="preserve">Apply materiality. Trivial items are recorded but not surfaced in executive outputs.</w:t>
      </w:r>
    </w:p>
    <w:p>
      <w:pPr>
        <w:pStyle w:val="ListParagraph"/>
        <w:numPr>
          <w:ilvl w:val="0"/>
          <w:numId w:val="2"/>
        </w:numPr>
        <w:spacing w:after="60"/>
      </w:pPr>
      <w:r>
        <w:rPr>
          <w:rFonts w:ascii="Arial" w:cs="Arial" w:eastAsia="Arial" w:hAnsi="Arial"/>
          <w:color w:val="1A1A1A"/>
          <w:sz w:val="20"/>
          <w:szCs w:val="20"/>
        </w:rPr>
        <w:t xml:space="preserve">Never plug. Every reconciling item must be explained. Silent adjustments are forbidden.</w:t>
      </w:r>
    </w:p>
    <w:p>
      <w:pPr>
        <w:pStyle w:val="ListParagraph"/>
        <w:numPr>
          <w:ilvl w:val="0"/>
          <w:numId w:val="2"/>
        </w:numPr>
        <w:spacing w:after="60"/>
      </w:pPr>
      <w:r>
        <w:rPr>
          <w:rFonts w:ascii="Arial" w:cs="Arial" w:eastAsia="Arial" w:hAnsi="Arial"/>
          <w:color w:val="1A1A1A"/>
          <w:sz w:val="20"/>
          <w:szCs w:val="20"/>
        </w:rPr>
        <w:t xml:space="preserve">Audit trail. Every output includes a metadata block with sources, timestamps, and reviewer fields.</w:t>
      </w:r>
    </w:p>
    <w:p>
      <w:pPr>
        <w:pStyle w:val="ListParagraph"/>
        <w:numPr>
          <w:ilvl w:val="0"/>
          <w:numId w:val="2"/>
        </w:numPr>
        <w:spacing w:after="60"/>
      </w:pPr>
      <w:r>
        <w:rPr>
          <w:rFonts w:ascii="Arial" w:cs="Arial" w:eastAsia="Arial" w:hAnsi="Arial"/>
          <w:color w:val="1A1A1A"/>
          <w:sz w:val="20"/>
          <w:szCs w:val="20"/>
        </w:rPr>
        <w:t xml:space="preserve">Confidence labeling. Every proposed JE is tagged high / medium / low. Low-confidence entries require additional review before approval.</w:t>
      </w:r>
    </w:p>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3. Account Coverage</w:t>
      </w:r>
    </w:p>
    <w:p>
      <w:pPr>
        <w:spacing w:after="120" w:before="0"/>
      </w:pPr>
      <w:r>
        <w:rPr>
          <w:rFonts w:ascii="Arial" w:cs="Arial" w:eastAsia="Arial" w:hAnsi="Arial"/>
          <w:b w:val="false"/>
          <w:bCs w:val="false"/>
          <w:i w:val="false"/>
          <w:iCs w:val="false"/>
          <w:color w:val="1A1A1A"/>
          <w:sz w:val="20"/>
          <w:szCs w:val="20"/>
        </w:rPr>
        <w:t xml:space="preserve">The system reconciles every material balance sheet account across all three Lumina entities. The account map is defined in config/account-map.yaml. The table below shows the November 2026 coverage for LuminaUS.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Account Codes</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Rec Type</w:t>
            </w:r>
          </w:p>
        </w:tc>
        <w:tc>
          <w:tcPr>
            <w:tcW w:type="dxa" w:w="2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Source of Truth</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Cash &amp; Bank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100100, 100200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 statement tie-out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November bank statement</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Accounts Receivable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120100, 120200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 subledger aging tie-out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 aging report from ERP</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Prepaids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130100–130400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Amortization schedule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Prepaid schedule (Finance-maintained)</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Fixed 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150100, 150200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asset register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 register / depreciation schedule</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Accounts Payable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200100, 200200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 subledger tie-out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 aging report from ERP</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Accrued Liabilities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210100–210500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Accrual schedule 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Accrual schedule (Finance-maintained)</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Deferred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220100, 220200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Subscriber billing tie-out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system extract</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Intercompany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230100–240200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 matrix matching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All-entity IC report</w:t>
            </w:r>
          </w:p>
        </w:tc>
      </w:tr>
      <w:tr>
        <w:tc>
          <w:tcPr>
            <w:tcW w:type="dxa" w:w="2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Long-Term Debt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Lender statement tie-out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Lender statement / amortization table</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4. Reconciliation Methodology</w:t>
      </w:r>
    </w:p>
    <w:p>
      <w:pPr>
        <w:spacing w:after="120" w:before="0"/>
      </w:pPr>
      <w:r>
        <w:rPr>
          <w:rFonts w:ascii="Arial" w:cs="Arial" w:eastAsia="Arial" w:hAnsi="Arial"/>
          <w:b w:val="false"/>
          <w:bCs w:val="false"/>
          <w:i w:val="false"/>
          <w:iCs w:val="false"/>
          <w:color w:val="1A1A1A"/>
          <w:sz w:val="20"/>
          <w:szCs w:val="20"/>
        </w:rPr>
        <w:t xml:space="preserve">Every reconciliation follows the same logical structure regardless of account type: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60"/>
            </w:pPr>
            <w:r>
              <w:rPr>
                <w:rFonts w:ascii="Arial" w:cs="Arial" w:eastAsia="Arial" w:hAnsi="Arial"/>
                <w:sz w:val="20"/>
                <w:szCs w:val="20"/>
              </w:rPr>
              <w:t xml:space="preserve">GL balance per source (TB or sub-ledger detail)</w:t>
            </w:r>
          </w:p>
          <w:p>
            <w:pPr>
              <w:spacing w:after="60"/>
            </w:pPr>
            <w:r>
              <w:rPr>
                <w:rFonts w:ascii="Arial" w:cs="Arial" w:eastAsia="Arial" w:hAnsi="Arial"/>
                <w:sz w:val="20"/>
                <w:szCs w:val="20"/>
              </w:rPr>
              <w:t xml:space="preserve">+/– Reconciling items (timing, classification, errors not yet booked)</w:t>
            </w:r>
          </w:p>
          <w:p>
            <w:pPr>
              <w:spacing w:after="0"/>
            </w:pPr>
            <w:r>
              <w:rPr>
                <w:rFonts w:ascii="Arial" w:cs="Arial" w:eastAsia="Arial" w:hAnsi="Arial"/>
                <w:b/>
                <w:bCs/>
                <w:sz w:val="20"/>
                <w:szCs w:val="20"/>
              </w:rPr>
              <w:t xml:space="preserve">= Independent support balance (bank statement, schedule, third-party confirmation)</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4.1 Bank Reconciliation</w:t>
      </w:r>
    </w:p>
    <w:p>
      <w:pPr>
        <w:spacing w:after="120" w:before="0"/>
      </w:pPr>
      <w:r>
        <w:rPr>
          <w:rFonts w:ascii="Arial" w:cs="Arial" w:eastAsia="Arial" w:hAnsi="Arial"/>
          <w:b w:val="false"/>
          <w:bCs w:val="false"/>
          <w:i w:val="false"/>
          <w:iCs w:val="false"/>
          <w:color w:val="1A1A1A"/>
          <w:sz w:val="20"/>
          <w:szCs w:val="20"/>
        </w:rPr>
        <w:t xml:space="preserve">Source of truth: the bank statement. Both sides must reconcile to the same adjusted balance after accounting for timing items.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Bank side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 statement balance + deposits in transit – outstanding checks = adjusted bank balance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Book side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GL cash balance +/– unbooked bank items (wire fees, interest credits) = adjusted book balance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Difference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be zero or below trivial threshold ($450K). Any unreconciled variance is escalated.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Flags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Outstanding checks &gt; 60 days: recommend void. Deposits in transit &gt; 5 days: contact treasury.</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4.2 Intercompany Reconciliation</w:t>
      </w:r>
    </w:p>
    <w:p>
      <w:pPr>
        <w:spacing w:after="120" w:before="0"/>
      </w:pPr>
      <w:r>
        <w:rPr>
          <w:rFonts w:ascii="Arial" w:cs="Arial" w:eastAsia="Arial" w:hAnsi="Arial"/>
          <w:b w:val="false"/>
          <w:bCs w:val="false"/>
          <w:i w:val="false"/>
          <w:iCs w:val="false"/>
          <w:color w:val="1A1A1A"/>
          <w:sz w:val="20"/>
          <w:szCs w:val="20"/>
        </w:rPr>
        <w:t xml:space="preserve">There is no single source of truth in IC recs. Each entity records its own side and the two sides must mirror: Entity A receivable from B must equal Entity B payable to A.</w:t>
      </w:r>
    </w:p>
    <w:p>
      <w:pPr>
        <w:spacing w:after="80"/>
      </w:pPr>
      <w:r>
        <w:t xml:space="preserve"/>
      </w:r>
    </w:p>
    <w:p>
      <w:pPr>
        <w:spacing w:after="120" w:before="0"/>
      </w:pPr>
      <w:r>
        <w:rPr>
          <w:rFonts w:ascii="Arial" w:cs="Arial" w:eastAsia="Arial" w:hAnsi="Arial"/>
          <w:b w:val="false"/>
          <w:bCs w:val="false"/>
          <w:i w:val="false"/>
          <w:iCs w:val="false"/>
          <w:color w:val="1A1A1A"/>
          <w:sz w:val="20"/>
          <w:szCs w:val="20"/>
        </w:rPr>
        <w:t xml:space="preserve">Most common causes of IC mismatches: timing (one entity records in the current month, the counterparty in the prior month), FX translation differences on non-USD entities, or classification disagreement. The Exception Management Agent tracks the cause for each mismatch and routes to the responsible entity controller.</w:t>
      </w:r>
    </w:p>
    <w:p>
      <w:pPr>
        <w:spacing w:after="80"/>
      </w:pPr>
      <w:r>
        <w:t xml:space="preserve"/>
      </w:r>
    </w:p>
    <w:p>
      <w:pPr>
        <w:pStyle w:val="Heading2"/>
        <w:spacing w:after="80" w:before="240"/>
      </w:pPr>
      <w:r>
        <w:rPr>
          <w:rFonts w:ascii="Arial" w:cs="Arial" w:eastAsia="Arial" w:hAnsi="Arial"/>
          <w:b/>
          <w:bCs/>
          <w:color w:val="2E75B6"/>
          <w:sz w:val="26"/>
          <w:szCs w:val="26"/>
        </w:rPr>
        <w:t xml:space="preserve">4.3 Prepaid Amortization</w:t>
      </w:r>
    </w:p>
    <w:p>
      <w:pPr>
        <w:spacing w:after="120" w:before="0"/>
      </w:pPr>
      <w:r>
        <w:rPr>
          <w:rFonts w:ascii="Arial" w:cs="Arial" w:eastAsia="Arial" w:hAnsi="Arial"/>
          <w:b w:val="false"/>
          <w:bCs w:val="false"/>
          <w:i w:val="false"/>
          <w:iCs w:val="false"/>
          <w:color w:val="1A1A1A"/>
          <w:sz w:val="20"/>
          <w:szCs w:val="20"/>
        </w:rPr>
        <w:t xml:space="preserve">Source of truth: the prepaid schedule maintained outside the GL. The workpaper ties the sum of all prepaid asset balances on the schedule to the GL account balance.</w:t>
      </w:r>
    </w:p>
    <w:p>
      <w:pPr>
        <w:spacing w:after="80"/>
      </w:pPr>
      <w:r>
        <w:t xml:space="preserve"/>
      </w:r>
    </w:p>
    <w:p>
      <w:pPr>
        <w:spacing w:after="120" w:before="0"/>
      </w:pPr>
      <w:r>
        <w:rPr>
          <w:rFonts w:ascii="Arial" w:cs="Arial" w:eastAsia="Arial" w:hAnsi="Arial"/>
          <w:b w:val="false"/>
          <w:bCs w:val="false"/>
          <w:i w:val="false"/>
          <w:iCs w:val="false"/>
          <w:color w:val="1A1A1A"/>
          <w:sz w:val="20"/>
          <w:szCs w:val="20"/>
        </w:rPr>
        <w:t xml:space="preserve">Items flagged: fully amortized assets with remaining GL balance, amortization periods inconsistent with contract terms, new additions without supporting documentation, schedule total that does not tie to GL.</w:t>
      </w:r>
    </w:p>
    <w:p>
      <w:pPr>
        <w:spacing w:after="80"/>
      </w:pPr>
      <w:r>
        <w:t xml:space="preserve"/>
      </w:r>
    </w:p>
    <w:p>
      <w:pPr>
        <w:pStyle w:val="Heading2"/>
        <w:spacing w:after="80" w:before="240"/>
      </w:pPr>
      <w:r>
        <w:rPr>
          <w:rFonts w:ascii="Arial" w:cs="Arial" w:eastAsia="Arial" w:hAnsi="Arial"/>
          <w:b/>
          <w:bCs/>
          <w:color w:val="2E75B6"/>
          <w:sz w:val="26"/>
          <w:szCs w:val="26"/>
        </w:rPr>
        <w:t xml:space="preserve">4.4 Accrual Review</w:t>
      </w:r>
    </w:p>
    <w:p>
      <w:pPr>
        <w:spacing w:after="120" w:before="0"/>
      </w:pPr>
      <w:r>
        <w:rPr>
          <w:rFonts w:ascii="Arial" w:cs="Arial" w:eastAsia="Arial" w:hAnsi="Arial"/>
          <w:b w:val="false"/>
          <w:bCs w:val="false"/>
          <w:i w:val="false"/>
          <w:iCs w:val="false"/>
          <w:color w:val="1A1A1A"/>
          <w:sz w:val="20"/>
          <w:szCs w:val="20"/>
        </w:rPr>
        <w:t xml:space="preserve">Source of truth: the accrual schedule. The most common and highest-dollar finding in accrual reviews is the stale accrual: a prior-period accrual that should have reversed when the related invoice was received but was not reversed.</w:t>
      </w:r>
    </w:p>
    <w:p>
      <w:pPr>
        <w:spacing w:after="80"/>
      </w:pPr>
      <w:r>
        <w:t xml:space="preserve"/>
      </w:r>
    </w:p>
    <w:p>
      <w:pPr>
        <w:spacing w:after="120" w:before="0"/>
      </w:pPr>
      <w:r>
        <w:rPr>
          <w:rFonts w:ascii="Arial" w:cs="Arial" w:eastAsia="Arial" w:hAnsi="Arial"/>
          <w:b w:val="false"/>
          <w:bCs w:val="false"/>
          <w:i w:val="false"/>
          <w:iCs w:val="false"/>
          <w:color w:val="1A1A1A"/>
          <w:sz w:val="20"/>
          <w:szCs w:val="20"/>
        </w:rPr>
        <w:t xml:space="preserve">Flags: stale accruals (prior-period, not reversed), accruals &gt; 90 days without active reversal status, significant variance between accrued amount and received invoice, missing accruals for known obligations.</w:t>
      </w:r>
    </w:p>
    <w:p>
      <w:pPr>
        <w:spacing w:after="80"/>
      </w:pPr>
      <w:r>
        <w:t xml:space="preserve"/>
      </w:r>
    </w:p>
    <w:p>
      <w:pPr>
        <w:pStyle w:val="Heading2"/>
        <w:spacing w:after="80" w:before="240"/>
      </w:pPr>
      <w:r>
        <w:rPr>
          <w:rFonts w:ascii="Arial" w:cs="Arial" w:eastAsia="Arial" w:hAnsi="Arial"/>
          <w:b/>
          <w:bCs/>
          <w:color w:val="2E75B6"/>
          <w:sz w:val="26"/>
          <w:szCs w:val="26"/>
        </w:rPr>
        <w:t xml:space="preserve">4.5 AR/AP Subledger Tie-Out</w:t>
      </w:r>
    </w:p>
    <w:p>
      <w:pPr>
        <w:spacing w:after="120" w:before="0"/>
      </w:pPr>
      <w:r>
        <w:rPr>
          <w:rFonts w:ascii="Arial" w:cs="Arial" w:eastAsia="Arial" w:hAnsi="Arial"/>
          <w:b w:val="false"/>
          <w:bCs w:val="false"/>
          <w:i w:val="false"/>
          <w:iCs w:val="false"/>
          <w:color w:val="1A1A1A"/>
          <w:sz w:val="20"/>
          <w:szCs w:val="20"/>
        </w:rPr>
        <w:t xml:space="preserve">The tie-out is mechanical: GL account balance must equal the sum of all aging buckets in the subledger report. Differences are typically timing items or unposted journal entries.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AR 90+ day balance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 if 90+ day AR exceeds 5% of total AR balance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Negative AR balance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 balances in AR should be reclassified to deferred revenue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AP &gt; 60 days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 AP older than 60 days when standard terms are net 30 — possible dispute or process issue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Sub-ledger / GL mismatch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difference between sub-ledger sum and GL balance requires investigation before close</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5. Materiality Thresholds</w:t>
      </w:r>
    </w:p>
    <w:p>
      <w:pPr>
        <w:spacing w:after="120" w:before="0"/>
      </w:pPr>
      <w:r>
        <w:rPr>
          <w:rFonts w:ascii="Arial" w:cs="Arial" w:eastAsia="Arial" w:hAnsi="Arial"/>
          <w:b w:val="false"/>
          <w:bCs w:val="false"/>
          <w:i w:val="false"/>
          <w:iCs w:val="false"/>
          <w:color w:val="1A1A1A"/>
          <w:sz w:val="20"/>
          <w:szCs w:val="20"/>
        </w:rPr>
        <w:t xml:space="preserve">All thresholds are defined in config/thresholds.yaml. Changing a value there recalibrates every agent automatically. The table below shows the Lumina defaults.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Value (Lumina Default)</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Material exception — amount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$100,000 per item</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Material exception — 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30 days old (either condition triggers flag)</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Auto-investigate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$250,000 regardless of age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Trivial threshold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$450,000 aggregate (items below: noted, no commentary required)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Outstanding check flag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60 days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Deposit in transit flag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 days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IC mismatch flag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$50,000</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Stale accrual flag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45 days without reversal</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AR 90+ day flag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5% of total AR balance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5.1 JE Approval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Approval Required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&lt; $10,000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with notation — no additional approval</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$10,000 – $250,000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Controller approval</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$250,000 – $1,000,000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CFO approval</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&gt; $1,000,000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CFO + Audit Committee notification</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5.2 Aging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Definition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Current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0–30 days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Aged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31–60 days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At Risk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61–90 days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Critical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90 days — escalate to CFO regardless of amount</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6. Output Formats</w:t>
      </w:r>
    </w:p>
    <w:p>
      <w:pPr>
        <w:pStyle w:val="Heading2"/>
        <w:spacing w:after="80" w:before="240"/>
      </w:pPr>
      <w:r>
        <w:rPr>
          <w:rFonts w:ascii="Arial" w:cs="Arial" w:eastAsia="Arial" w:hAnsi="Arial"/>
          <w:b/>
          <w:bCs/>
          <w:color w:val="2E75B6"/>
          <w:sz w:val="26"/>
          <w:szCs w:val="26"/>
        </w:rPr>
        <w:t xml:space="preserve">6.1 Workpaper (xlsx)</w:t>
      </w:r>
    </w:p>
    <w:p>
      <w:pPr>
        <w:spacing w:after="120" w:before="0"/>
      </w:pPr>
      <w:r>
        <w:rPr>
          <w:rFonts w:ascii="Arial" w:cs="Arial" w:eastAsia="Arial" w:hAnsi="Arial"/>
          <w:b w:val="false"/>
          <w:bCs w:val="false"/>
          <w:i w:val="false"/>
          <w:iCs w:val="false"/>
          <w:color w:val="1A1A1A"/>
          <w:sz w:val="20"/>
          <w:szCs w:val="20"/>
        </w:rPr>
        <w:t xml:space="preserve">Filename convention: YYYY-MM_&lt;entity&gt;_&lt;account&gt;Rec_v&lt;n&gt;.xlsx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Contents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Summary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 period, GL balance, support balance, difference, exception count, status, preparer/reviewer sign-off block</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Detail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Reconciliation mechanics with live Excel formulas — the actual tie-out</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Supporting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Outstanding items detail, aging analysis, supporting calculations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Exceptions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Items needing action with proposed disposition and age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Proposed JEs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Adjusting entries to clear book-side reconciling items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Audit Trail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 files with hashes, agent metadata, run timestamp, sign-off fields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6.2 Reconciliation Memo (md)</w:t>
      </w:r>
    </w:p>
    <w:p>
      <w:pPr>
        <w:spacing w:after="120" w:before="0"/>
      </w:pPr>
      <w:r>
        <w:rPr>
          <w:rFonts w:ascii="Arial" w:cs="Arial" w:eastAsia="Arial" w:hAnsi="Arial"/>
          <w:b w:val="false"/>
          <w:bCs w:val="false"/>
          <w:i w:val="false"/>
          <w:iCs w:val="false"/>
          <w:color w:val="1A1A1A"/>
          <w:sz w:val="20"/>
          <w:szCs w:val="20"/>
        </w:rPr>
        <w:t xml:space="preserve">Filename convention: YYYY-MM_&lt;entity&gt;_&lt;scope&gt;Recon_v&lt;n&gt;_memo.md</w:t>
      </w:r>
    </w:p>
    <w:p>
      <w:pPr>
        <w:spacing w:after="80"/>
      </w:pPr>
      <w:r>
        <w:t xml:space="preserve"/>
      </w:r>
    </w:p>
    <w:p>
      <w:pPr>
        <w:pStyle w:val="ListParagraph"/>
        <w:numPr>
          <w:ilvl w:val="0"/>
          <w:numId w:val="2"/>
        </w:numPr>
        <w:spacing w:after="60"/>
      </w:pPr>
      <w:r>
        <w:rPr>
          <w:rFonts w:ascii="Arial" w:cs="Arial" w:eastAsia="Arial" w:hAnsi="Arial"/>
          <w:color w:val="1A1A1A"/>
          <w:sz w:val="20"/>
          <w:szCs w:val="20"/>
        </w:rPr>
        <w:t xml:space="preserve">Executive summary (3–5 lines)</w:t>
      </w:r>
    </w:p>
    <w:p>
      <w:pPr>
        <w:pStyle w:val="ListParagraph"/>
        <w:numPr>
          <w:ilvl w:val="0"/>
          <w:numId w:val="2"/>
        </w:numPr>
        <w:spacing w:after="60"/>
      </w:pPr>
      <w:r>
        <w:rPr>
          <w:rFonts w:ascii="Arial" w:cs="Arial" w:eastAsia="Arial" w:hAnsi="Arial"/>
          <w:color w:val="1A1A1A"/>
          <w:sz w:val="20"/>
          <w:szCs w:val="20"/>
        </w:rPr>
        <w:t xml:space="preserve">Findings — exceptions prioritized by severity (high / medium / low)</w:t>
      </w:r>
    </w:p>
    <w:p>
      <w:pPr>
        <w:pStyle w:val="ListParagraph"/>
        <w:numPr>
          <w:ilvl w:val="0"/>
          <w:numId w:val="2"/>
        </w:numPr>
        <w:spacing w:after="60"/>
      </w:pPr>
      <w:r>
        <w:rPr>
          <w:rFonts w:ascii="Arial" w:cs="Arial" w:eastAsia="Arial" w:hAnsi="Arial"/>
          <w:color w:val="1A1A1A"/>
          <w:sz w:val="20"/>
          <w:szCs w:val="20"/>
        </w:rPr>
        <w:t xml:space="preserve">Proposed adjusting entries — debit, credit, amount, account, description, confidence</w:t>
      </w:r>
    </w:p>
    <w:p>
      <w:pPr>
        <w:pStyle w:val="ListParagraph"/>
        <w:numPr>
          <w:ilvl w:val="0"/>
          <w:numId w:val="2"/>
        </w:numPr>
        <w:spacing w:after="60"/>
      </w:pPr>
      <w:r>
        <w:rPr>
          <w:rFonts w:ascii="Arial" w:cs="Arial" w:eastAsia="Arial" w:hAnsi="Arial"/>
          <w:color w:val="1A1A1A"/>
          <w:sz w:val="20"/>
          <w:szCs w:val="20"/>
        </w:rPr>
        <w:t xml:space="preserve">Open items requiring human decision</w:t>
      </w:r>
    </w:p>
    <w:p>
      <w:pPr>
        <w:pStyle w:val="ListParagraph"/>
        <w:numPr>
          <w:ilvl w:val="0"/>
          <w:numId w:val="2"/>
        </w:numPr>
        <w:spacing w:after="60"/>
      </w:pPr>
      <w:r>
        <w:rPr>
          <w:rFonts w:ascii="Arial" w:cs="Arial" w:eastAsia="Arial" w:hAnsi="Arial"/>
          <w:color w:val="1A1A1A"/>
          <w:sz w:val="20"/>
          <w:szCs w:val="20"/>
        </w:rPr>
        <w:t xml:space="preserve">Metadata — agent version, source files, timestamp, reviewer field</w:t>
      </w:r>
    </w:p>
    <w:p>
      <w:pPr>
        <w:spacing w:after="80"/>
      </w:pPr>
      <w:r>
        <w:t xml:space="preserve"/>
      </w:r>
    </w:p>
    <w:p>
      <w:pPr>
        <w:pStyle w:val="Heading2"/>
        <w:spacing w:after="80" w:before="240"/>
      </w:pPr>
      <w:r>
        <w:rPr>
          <w:rFonts w:ascii="Arial" w:cs="Arial" w:eastAsia="Arial" w:hAnsi="Arial"/>
          <w:b/>
          <w:bCs/>
          <w:color w:val="2E75B6"/>
          <w:sz w:val="26"/>
          <w:szCs w:val="26"/>
        </w:rPr>
        <w:t xml:space="preserve">6.3 JE Proposal Format</w:t>
      </w:r>
    </w:p>
    <w:p>
      <w:pPr>
        <w:spacing w:after="120" w:before="0"/>
      </w:pPr>
      <w:r>
        <w:rPr>
          <w:rFonts w:ascii="Arial" w:cs="Arial" w:eastAsia="Arial" w:hAnsi="Arial"/>
          <w:b w:val="false"/>
          <w:bCs w:val="false"/>
          <w:i w:val="false"/>
          <w:iCs w:val="false"/>
          <w:color w:val="1A1A1A"/>
          <w:sz w:val="20"/>
          <w:szCs w:val="20"/>
        </w:rPr>
        <w:t xml:space="preserve">Every proposed JE includes the following fields: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Description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sentence, plain English explanation of what the entry does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Debit account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Six-digit account code and account name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Credit account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Six-digit account code and account name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Amount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dollar amount (never in thousands)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Period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 period the JE belongs to (e.g. 2026-11)</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Reason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the entry is needed — the reconciling item it clears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Source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document, transaction, or workpaper row that supports it</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Confidence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 Medium / Low — drives approval tier routing</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6.4 Output Envelope (JSON)</w:t>
      </w:r>
    </w:p>
    <w:p>
      <w:pPr>
        <w:spacing w:after="120" w:before="0"/>
      </w:pPr>
      <w:r>
        <w:rPr>
          <w:rFonts w:ascii="Arial" w:cs="Arial" w:eastAsia="Arial" w:hAnsi="Arial"/>
          <w:b w:val="false"/>
          <w:bCs w:val="false"/>
          <w:i w:val="false"/>
          <w:iCs w:val="false"/>
          <w:color w:val="1A1A1A"/>
          <w:sz w:val="20"/>
          <w:szCs w:val="20"/>
        </w:rPr>
        <w:t xml:space="preserve">Every reconciliation returns a structured JSON envelope that the Rec Package Agent and any Orchestrator can route. Key fields: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pPr>
            <w:r>
              <w:rPr>
                <w:rFonts w:ascii="Courier New" w:cs="Courier New" w:eastAsia="Courier New" w:hAnsi="Courier New"/>
                <w:color w:val="1A1A1A"/>
                <w:sz w:val="16"/>
                <w:szCs w:val="16"/>
              </w:rPr>
              <w:t xml:space="preserve">{ "result": { "account": "100100", "entity": "LuminaUS", "period": "2026-11",</w:t>
            </w:r>
          </w:p>
          <w:p>
            <w:pPr>
              <w:spacing w:after="20"/>
            </w:pPr>
            <w:r>
              <w:rPr>
                <w:rFonts w:ascii="Courier New" w:cs="Courier New" w:eastAsia="Courier New" w:hAnsi="Courier New"/>
                <w:color w:val="1A1A1A"/>
                <w:sz w:val="16"/>
                <w:szCs w:val="16"/>
              </w:rPr>
              <w:t xml:space="preserve">  "gl_balance": 142500000, "support_balance": 142500000, "difference": 0 },</w:t>
            </w:r>
          </w:p>
          <w:p>
            <w:pPr>
              <w:spacing w:after="20"/>
            </w:pPr>
            <w:r>
              <w:rPr>
                <w:rFonts w:ascii="Courier New" w:cs="Courier New" w:eastAsia="Courier New" w:hAnsi="Courier New"/>
                <w:color w:val="1A1A1A"/>
                <w:sz w:val="16"/>
                <w:szCs w:val="16"/>
              </w:rPr>
              <w:t xml:space="preserve">  "exceptions": [{ "severity": "high|medium|low", "category": "...",</w:t>
            </w:r>
          </w:p>
          <w:p>
            <w:pPr>
              <w:spacing w:after="20"/>
            </w:pPr>
            <w:r>
              <w:rPr>
                <w:rFonts w:ascii="Courier New" w:cs="Courier New" w:eastAsia="Courier New" w:hAnsi="Courier New"/>
                <w:color w:val="1A1A1A"/>
                <w:sz w:val="16"/>
                <w:szCs w:val="16"/>
              </w:rPr>
              <w:t xml:space="preserve">    "description": "...", "proposed_action": "..." }],</w:t>
            </w:r>
          </w:p>
          <w:p>
            <w:pPr>
              <w:spacing w:after="20"/>
            </w:pPr>
            <w:r>
              <w:rPr>
                <w:rFonts w:ascii="Courier New" w:cs="Courier New" w:eastAsia="Courier New" w:hAnsi="Courier New"/>
                <w:color w:val="1A1A1A"/>
                <w:sz w:val="16"/>
                <w:szCs w:val="16"/>
              </w:rPr>
              <w:t xml:space="preserve">  "proposed_jes": [{ "debit_account": "100100", "credit_account": "700100",</w:t>
            </w:r>
          </w:p>
          <w:p>
            <w:pPr>
              <w:spacing w:after="20"/>
            </w:pPr>
            <w:r>
              <w:rPr>
                <w:rFonts w:ascii="Courier New" w:cs="Courier New" w:eastAsia="Courier New" w:hAnsi="Courier New"/>
                <w:color w:val="1A1A1A"/>
                <w:sz w:val="16"/>
                <w:szCs w:val="16"/>
              </w:rPr>
              <w:t xml:space="preserve">    "amount": 8200, "confidence": "high", ... }],</w:t>
            </w:r>
          </w:p>
          <w:p>
            <w:pPr>
              <w:spacing w:after="20"/>
            </w:pPr>
            <w:r>
              <w:rPr>
                <w:rFonts w:ascii="Courier New" w:cs="Courier New" w:eastAsia="Courier New" w:hAnsi="Courier New"/>
                <w:color w:val="1A1A1A"/>
                <w:sz w:val="16"/>
                <w:szCs w:val="16"/>
              </w:rPr>
              <w:t xml:space="preserve">  "_metadata": { "agent": "account-reconciliation", "version": "0.1.0",</w:t>
            </w:r>
          </w:p>
          <w:p>
            <w:pPr>
              <w:spacing w:after="20"/>
            </w:pPr>
            <w:r>
              <w:rPr>
                <w:rFonts w:ascii="Courier New" w:cs="Courier New" w:eastAsia="Courier New" w:hAnsi="Courier New"/>
                <w:color w:val="1A1A1A"/>
                <w:sz w:val="16"/>
                <w:szCs w:val="16"/>
              </w:rPr>
              <w:t xml:space="preserve">    "run_timestamp": "ISO-8601", "sources": [...], "human_reviewer": null } }</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7. Skills</w:t>
      </w:r>
    </w:p>
    <w:p>
      <w:pPr>
        <w:spacing w:after="120" w:before="0"/>
      </w:pPr>
      <w:r>
        <w:rPr>
          <w:rFonts w:ascii="Arial" w:cs="Arial" w:eastAsia="Arial" w:hAnsi="Arial"/>
          <w:b w:val="false"/>
          <w:bCs w:val="false"/>
          <w:i w:val="false"/>
          <w:iCs w:val="false"/>
          <w:color w:val="1A1A1A"/>
          <w:sz w:val="20"/>
          <w:szCs w:val="20"/>
        </w:rPr>
        <w:t xml:space="preserve">Skills are SKILL.md files loaded into each agent's Claude Project knowledge base. They define the methodology the agent follows. The table below shows which skills each agent loads.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Account Reconciliation</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Exception Management</w:t>
            </w:r>
          </w:p>
        </w:tc>
        <w:tc>
          <w:tcPr>
            <w:tcW w:type="dxa" w:w="2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Rec Package</w:t>
            </w:r>
          </w:p>
        </w:tc>
      </w:tr>
      <w:tr>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bs-reconciliation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skill. All rec type methodology.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 for threshold definitions.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 for output format.</w:t>
            </w:r>
          </w:p>
        </w:tc>
      </w:tr>
      <w:tr>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materiality-thresholds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Triage logic, threshold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Aging buckets, escalation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Summary threshold for package assembly.</w:t>
            </w:r>
          </w:p>
        </w:tc>
      </w:tr>
      <w:tr>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je-review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JE proposal format and confidence labeling.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Approval tier routing.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JE summary in package.</w:t>
            </w:r>
          </w:p>
        </w:tc>
      </w:tr>
      <w:tr>
        <w:tc>
          <w:tcPr>
            <w:tcW w:type="dxa" w:w="24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4E78"/>
                <w:sz w:val="20"/>
                <w:szCs w:val="20"/>
              </w:rPr>
              <w:t xml:space="preserve">finance-conventions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COA, entity codes, sign conventions.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Entity routing for IC exceptions.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naming and formatting.</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8. Configuration</w:t>
      </w:r>
    </w:p>
    <w:p>
      <w:pPr>
        <w:pStyle w:val="Heading2"/>
        <w:spacing w:after="80" w:before="240"/>
      </w:pPr>
      <w:r>
        <w:rPr>
          <w:rFonts w:ascii="Arial" w:cs="Arial" w:eastAsia="Arial" w:hAnsi="Arial"/>
          <w:b/>
          <w:bCs/>
          <w:color w:val="2E75B6"/>
          <w:sz w:val="26"/>
          <w:szCs w:val="26"/>
        </w:rPr>
        <w:t xml:space="preserve">8.1 config/thresholds.yaml</w:t>
      </w:r>
    </w:p>
    <w:p>
      <w:pPr>
        <w:spacing w:after="120" w:before="0"/>
      </w:pPr>
      <w:r>
        <w:rPr>
          <w:rFonts w:ascii="Arial" w:cs="Arial" w:eastAsia="Arial" w:hAnsi="Arial"/>
          <w:b w:val="false"/>
          <w:bCs w:val="false"/>
          <w:i w:val="false"/>
          <w:iCs w:val="false"/>
          <w:color w:val="1A1A1A"/>
          <w:sz w:val="20"/>
          <w:szCs w:val="20"/>
        </w:rPr>
        <w:t xml:space="preserve">All materiality thresholds, aging parameters, and JE approval tiers. Edit this file to recalibrate the system for a new client. All three agents read from this file; changing a value updates the entire system.</w:t>
      </w:r>
    </w:p>
    <w:p>
      <w:pPr>
        <w:spacing w:after="80"/>
      </w:pPr>
      <w:r>
        <w:t xml:space="preserve"/>
      </w:r>
    </w:p>
    <w:p>
      <w:pPr>
        <w:pStyle w:val="Heading2"/>
        <w:spacing w:after="80" w:before="240"/>
      </w:pPr>
      <w:r>
        <w:rPr>
          <w:rFonts w:ascii="Arial" w:cs="Arial" w:eastAsia="Arial" w:hAnsi="Arial"/>
          <w:b/>
          <w:bCs/>
          <w:color w:val="2E75B6"/>
          <w:sz w:val="26"/>
          <w:szCs w:val="26"/>
        </w:rPr>
        <w:t xml:space="preserve">8.2 config/account-map.yaml</w:t>
      </w:r>
    </w:p>
    <w:p>
      <w:pPr>
        <w:spacing w:after="120" w:before="0"/>
      </w:pPr>
      <w:r>
        <w:rPr>
          <w:rFonts w:ascii="Arial" w:cs="Arial" w:eastAsia="Arial" w:hAnsi="Arial"/>
          <w:b w:val="false"/>
          <w:bCs w:val="false"/>
          <w:i w:val="false"/>
          <w:iCs w:val="false"/>
          <w:color w:val="1A1A1A"/>
          <w:sz w:val="20"/>
          <w:szCs w:val="20"/>
        </w:rPr>
        <w:t xml:space="preserve">Maps every balance sheet account code to its category, entity, and reconciliation type. When onboarding a new client, update this file with their chart of accounts. The Account Reconciliation Agent uses this map to determine which rec type to apply to each account.</w:t>
      </w:r>
    </w:p>
    <w:p>
      <w:pPr>
        <w:spacing w:after="80"/>
      </w:pPr>
      <w:r>
        <w:t xml:space="preserve"/>
      </w:r>
    </w:p>
    <w:p>
      <w:pPr>
        <w:pStyle w:val="Heading2"/>
        <w:spacing w:after="80" w:before="240"/>
      </w:pPr>
      <w:r>
        <w:rPr>
          <w:rFonts w:ascii="Arial" w:cs="Arial" w:eastAsia="Arial" w:hAnsi="Arial"/>
          <w:b/>
          <w:bCs/>
          <w:color w:val="2E75B6"/>
          <w:sz w:val="26"/>
          <w:szCs w:val="26"/>
        </w:rPr>
        <w:t xml:space="preserve">8.3 Calibration guide</w:t>
      </w:r>
    </w:p>
    <w:p>
      <w:pPr>
        <w:spacing w:after="120" w:before="0"/>
      </w:pPr>
      <w:r>
        <w:rPr>
          <w:rFonts w:ascii="Arial" w:cs="Arial" w:eastAsia="Arial" w:hAnsi="Arial"/>
          <w:b w:val="false"/>
          <w:bCs w:val="false"/>
          <w:i w:val="false"/>
          <w:iCs w:val="false"/>
          <w:color w:val="1A1A1A"/>
          <w:sz w:val="20"/>
          <w:szCs w:val="20"/>
        </w:rPr>
        <w:t xml:space="preserve">The following rules of thumb apply when calibrating for a new client:</w:t>
      </w:r>
    </w:p>
    <w:p>
      <w:pPr>
        <w:spacing w:after="80"/>
      </w:pPr>
      <w:r>
        <w:t xml:space="preserve"/>
      </w:r>
    </w:p>
    <w:p>
      <w:pPr>
        <w:pStyle w:val="ListParagraph"/>
        <w:numPr>
          <w:ilvl w:val="0"/>
          <w:numId w:val="2"/>
        </w:numPr>
        <w:spacing w:after="60"/>
      </w:pPr>
      <w:r>
        <w:rPr>
          <w:rFonts w:ascii="Arial" w:cs="Arial" w:eastAsia="Arial" w:hAnsi="Arial"/>
          <w:color w:val="1A1A1A"/>
          <w:sz w:val="20"/>
          <w:szCs w:val="20"/>
        </w:rPr>
        <w:t xml:space="preserve">Material exception threshold: set at approximately 0.5% of monthly revenue. A $150M/month company uses $750K; a $10M/month company uses $50K.</w:t>
      </w:r>
    </w:p>
    <w:p>
      <w:pPr>
        <w:pStyle w:val="ListParagraph"/>
        <w:numPr>
          <w:ilvl w:val="0"/>
          <w:numId w:val="2"/>
        </w:numPr>
        <w:spacing w:after="60"/>
      </w:pPr>
      <w:r>
        <w:rPr>
          <w:rFonts w:ascii="Arial" w:cs="Arial" w:eastAsia="Arial" w:hAnsi="Arial"/>
          <w:color w:val="1A1A1A"/>
          <w:sz w:val="20"/>
          <w:szCs w:val="20"/>
        </w:rPr>
        <w:t xml:space="preserve">Auto-investigate threshold: set at 2–3x the material exception threshold.</w:t>
      </w:r>
    </w:p>
    <w:p>
      <w:pPr>
        <w:pStyle w:val="ListParagraph"/>
        <w:numPr>
          <w:ilvl w:val="0"/>
          <w:numId w:val="2"/>
        </w:numPr>
        <w:spacing w:after="60"/>
      </w:pPr>
      <w:r>
        <w:rPr>
          <w:rFonts w:ascii="Arial" w:cs="Arial" w:eastAsia="Arial" w:hAnsi="Arial"/>
          <w:color w:val="1A1A1A"/>
          <w:sz w:val="20"/>
          <w:szCs w:val="20"/>
        </w:rPr>
        <w:t xml:space="preserve">Trivial threshold: set at 3% of monthly revenue. Items below this threshold are noted in workpapers only.</w:t>
      </w:r>
    </w:p>
    <w:p>
      <w:pPr>
        <w:pStyle w:val="ListParagraph"/>
        <w:numPr>
          <w:ilvl w:val="0"/>
          <w:numId w:val="2"/>
        </w:numPr>
        <w:spacing w:after="60"/>
      </w:pPr>
      <w:r>
        <w:rPr>
          <w:rFonts w:ascii="Arial" w:cs="Arial" w:eastAsia="Arial" w:hAnsi="Arial"/>
          <w:color w:val="1A1A1A"/>
          <w:sz w:val="20"/>
          <w:szCs w:val="20"/>
        </w:rPr>
        <w:t xml:space="preserve">Aging thresholds: default 30/60/90 day buckets work for most clients. Tighten to 15/30/60 for SOX-registered companies with strict close timelines.</w:t>
      </w:r>
    </w:p>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9. SOX Controls &amp; Audit Trail</w:t>
      </w:r>
    </w:p>
    <w:p>
      <w:pPr>
        <w:spacing w:after="120" w:before="0"/>
      </w:pPr>
      <w:r>
        <w:rPr>
          <w:rFonts w:ascii="Arial" w:cs="Arial" w:eastAsia="Arial" w:hAnsi="Arial"/>
          <w:b w:val="false"/>
          <w:bCs w:val="false"/>
          <w:i w:val="false"/>
          <w:iCs w:val="false"/>
          <w:color w:val="1A1A1A"/>
          <w:sz w:val="20"/>
          <w:szCs w:val="20"/>
        </w:rPr>
        <w:t xml:space="preserve">The system is designed to support SOX 302 and 404 compliance requirements for the financial close process. Every output includes a documented audit trail.</w:t>
      </w:r>
    </w:p>
    <w:p>
      <w:pPr>
        <w:spacing w:after="80"/>
      </w:pPr>
      <w:r>
        <w:t xml:space="preserve"/>
      </w:r>
    </w:p>
    <w:p>
      <w:pPr>
        <w:pStyle w:val="Heading2"/>
        <w:spacing w:after="80" w:before="240"/>
      </w:pPr>
      <w:r>
        <w:rPr>
          <w:rFonts w:ascii="Arial" w:cs="Arial" w:eastAsia="Arial" w:hAnsi="Arial"/>
          <w:b/>
          <w:bCs/>
          <w:color w:val="2E75B6"/>
          <w:sz w:val="26"/>
          <w:szCs w:val="26"/>
        </w:rPr>
        <w:t xml:space="preserve">9.1 Control objectives</w:t>
      </w:r>
    </w:p>
    <w:p>
      <w:pPr>
        <w:pStyle w:val="ListParagraph"/>
        <w:numPr>
          <w:ilvl w:val="0"/>
          <w:numId w:val="2"/>
        </w:numPr>
        <w:spacing w:after="60"/>
      </w:pPr>
      <w:r>
        <w:rPr>
          <w:rFonts w:ascii="Arial" w:cs="Arial" w:eastAsia="Arial" w:hAnsi="Arial"/>
          <w:color w:val="1A1A1A"/>
          <w:sz w:val="20"/>
          <w:szCs w:val="20"/>
        </w:rPr>
        <w:t xml:space="preserve">CC1 — Completeness: every material BS account is reconciled every period. The Rec Package Agent's assembly checklist confirms coverage before the package is declared complete.</w:t>
      </w:r>
    </w:p>
    <w:p>
      <w:pPr>
        <w:pStyle w:val="ListParagraph"/>
        <w:numPr>
          <w:ilvl w:val="0"/>
          <w:numId w:val="2"/>
        </w:numPr>
        <w:spacing w:after="60"/>
      </w:pPr>
      <w:r>
        <w:rPr>
          <w:rFonts w:ascii="Arial" w:cs="Arial" w:eastAsia="Arial" w:hAnsi="Arial"/>
          <w:color w:val="1A1A1A"/>
          <w:sz w:val="20"/>
          <w:szCs w:val="20"/>
        </w:rPr>
        <w:t xml:space="preserve">CC2 — Accuracy: reconciling items are traced to source documents. No item is cleared without a documented explanation.</w:t>
      </w:r>
    </w:p>
    <w:p>
      <w:pPr>
        <w:pStyle w:val="ListParagraph"/>
        <w:numPr>
          <w:ilvl w:val="0"/>
          <w:numId w:val="2"/>
        </w:numPr>
        <w:spacing w:after="60"/>
      </w:pPr>
      <w:r>
        <w:rPr>
          <w:rFonts w:ascii="Arial" w:cs="Arial" w:eastAsia="Arial" w:hAnsi="Arial"/>
          <w:color w:val="1A1A1A"/>
          <w:sz w:val="20"/>
          <w:szCs w:val="20"/>
        </w:rPr>
        <w:t xml:space="preserve">CC3 — Timeliness: aging thresholds flag items that are not resolved within the acceptable window. Critical items (&gt; 90 days) escalate to the CFO automatically.</w:t>
      </w:r>
    </w:p>
    <w:p>
      <w:pPr>
        <w:pStyle w:val="ListParagraph"/>
        <w:numPr>
          <w:ilvl w:val="0"/>
          <w:numId w:val="2"/>
        </w:numPr>
        <w:spacing w:after="60"/>
      </w:pPr>
      <w:r>
        <w:rPr>
          <w:rFonts w:ascii="Arial" w:cs="Arial" w:eastAsia="Arial" w:hAnsi="Arial"/>
          <w:color w:val="1A1A1A"/>
          <w:sz w:val="20"/>
          <w:szCs w:val="20"/>
        </w:rPr>
        <w:t xml:space="preserve">CC4 — Authorization: proposed JEs are routed through the approval tier matrix before posting. The output envelope records who approved each entry.</w:t>
      </w:r>
    </w:p>
    <w:p>
      <w:pPr>
        <w:spacing w:after="80"/>
      </w:pPr>
      <w:r>
        <w:t xml:space="preserve"/>
      </w:r>
    </w:p>
    <w:p>
      <w:pPr>
        <w:pStyle w:val="Heading2"/>
        <w:spacing w:after="80" w:before="240"/>
      </w:pPr>
      <w:r>
        <w:rPr>
          <w:rFonts w:ascii="Arial" w:cs="Arial" w:eastAsia="Arial" w:hAnsi="Arial"/>
          <w:b/>
          <w:bCs/>
          <w:color w:val="2E75B6"/>
          <w:sz w:val="26"/>
          <w:szCs w:val="26"/>
        </w:rPr>
        <w:t xml:space="preserve">9.2 Audit trail structure</w:t>
      </w:r>
    </w:p>
    <w:p>
      <w:pPr>
        <w:spacing w:after="120" w:before="0"/>
      </w:pPr>
      <w:r>
        <w:rPr>
          <w:rFonts w:ascii="Arial" w:cs="Arial" w:eastAsia="Arial" w:hAnsi="Arial"/>
          <w:b w:val="false"/>
          <w:bCs w:val="false"/>
          <w:i w:val="false"/>
          <w:iCs w:val="false"/>
          <w:color w:val="1A1A1A"/>
          <w:sz w:val="20"/>
          <w:szCs w:val="20"/>
        </w:rPr>
        <w:t xml:space="preserve">Every workpaper includes an Audit Trail tab containing:</w:t>
      </w:r>
    </w:p>
    <w:p>
      <w:pPr>
        <w:spacing w:after="80"/>
      </w:pPr>
      <w:r>
        <w:t xml:space="preserve"/>
      </w:r>
    </w:p>
    <w:p>
      <w:pPr>
        <w:pStyle w:val="ListParagraph"/>
        <w:numPr>
          <w:ilvl w:val="0"/>
          <w:numId w:val="2"/>
        </w:numPr>
        <w:spacing w:after="60"/>
      </w:pPr>
      <w:r>
        <w:rPr>
          <w:rFonts w:ascii="Arial" w:cs="Arial" w:eastAsia="Arial" w:hAnsi="Arial"/>
          <w:color w:val="1A1A1A"/>
          <w:sz w:val="20"/>
          <w:szCs w:val="20"/>
        </w:rPr>
        <w:t xml:space="preserve">Source files with SHA-256 hashes — confirms the input data was not modified after the rec was run</w:t>
      </w:r>
    </w:p>
    <w:p>
      <w:pPr>
        <w:pStyle w:val="ListParagraph"/>
        <w:numPr>
          <w:ilvl w:val="0"/>
          <w:numId w:val="2"/>
        </w:numPr>
        <w:spacing w:after="60"/>
      </w:pPr>
      <w:r>
        <w:rPr>
          <w:rFonts w:ascii="Arial" w:cs="Arial" w:eastAsia="Arial" w:hAnsi="Arial"/>
          <w:color w:val="1A1A1A"/>
          <w:sz w:val="20"/>
          <w:szCs w:val="20"/>
        </w:rPr>
        <w:t xml:space="preserve">Agent version and run timestamp</w:t>
      </w:r>
    </w:p>
    <w:p>
      <w:pPr>
        <w:pStyle w:val="ListParagraph"/>
        <w:numPr>
          <w:ilvl w:val="0"/>
          <w:numId w:val="2"/>
        </w:numPr>
        <w:spacing w:after="60"/>
      </w:pPr>
      <w:r>
        <w:rPr>
          <w:rFonts w:ascii="Arial" w:cs="Arial" w:eastAsia="Arial" w:hAnsi="Arial"/>
          <w:color w:val="1A1A1A"/>
          <w:sz w:val="20"/>
          <w:szCs w:val="20"/>
        </w:rPr>
        <w:t xml:space="preserve">List of exceptions identified, with severity and proposed action</w:t>
      </w:r>
    </w:p>
    <w:p>
      <w:pPr>
        <w:pStyle w:val="ListParagraph"/>
        <w:numPr>
          <w:ilvl w:val="0"/>
          <w:numId w:val="2"/>
        </w:numPr>
        <w:spacing w:after="60"/>
      </w:pPr>
      <w:r>
        <w:rPr>
          <w:rFonts w:ascii="Arial" w:cs="Arial" w:eastAsia="Arial" w:hAnsi="Arial"/>
          <w:color w:val="1A1A1A"/>
          <w:sz w:val="20"/>
          <w:szCs w:val="20"/>
        </w:rPr>
        <w:t xml:space="preserve">List of proposed JEs with confidence labels</w:t>
      </w:r>
    </w:p>
    <w:p>
      <w:pPr>
        <w:pStyle w:val="ListParagraph"/>
        <w:numPr>
          <w:ilvl w:val="0"/>
          <w:numId w:val="2"/>
        </w:numPr>
        <w:spacing w:after="60"/>
      </w:pPr>
      <w:r>
        <w:rPr>
          <w:rFonts w:ascii="Arial" w:cs="Arial" w:eastAsia="Arial" w:hAnsi="Arial"/>
          <w:color w:val="1A1A1A"/>
          <w:sz w:val="20"/>
          <w:szCs w:val="20"/>
        </w:rPr>
        <w:t xml:space="preserve">Preparer field (agent ID), Reviewer field (human name), Sign-off date</w:t>
      </w:r>
    </w:p>
    <w:p>
      <w:pPr>
        <w:pStyle w:val="ListParagraph"/>
        <w:numPr>
          <w:ilvl w:val="0"/>
          <w:numId w:val="2"/>
        </w:numPr>
        <w:spacing w:after="60"/>
      </w:pPr>
      <w:r>
        <w:rPr>
          <w:rFonts w:ascii="Arial" w:cs="Arial" w:eastAsia="Arial" w:hAnsi="Arial"/>
          <w:color w:val="1A1A1A"/>
          <w:sz w:val="20"/>
          <w:szCs w:val="20"/>
        </w:rPr>
        <w:t xml:space="preserve">Prior period comparison — previous period GL balance and any carryover exceptions</w:t>
      </w:r>
    </w:p>
    <w:p>
      <w:pPr>
        <w:spacing w:after="80"/>
      </w:pPr>
      <w:r>
        <w:t xml:space="preserve"/>
      </w:r>
    </w:p>
    <w:p>
      <w:pPr>
        <w:pStyle w:val="Heading2"/>
        <w:spacing w:after="80" w:before="240"/>
      </w:pPr>
      <w:r>
        <w:rPr>
          <w:rFonts w:ascii="Arial" w:cs="Arial" w:eastAsia="Arial" w:hAnsi="Arial"/>
          <w:b/>
          <w:bCs/>
          <w:color w:val="2E75B6"/>
          <w:sz w:val="26"/>
          <w:szCs w:val="26"/>
        </w:rPr>
        <w:t xml:space="preserve">9.3 Human-in-the-loop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Human approval required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Post any proposed JE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Controller (&lt; $250K) or CFO (&gt; $250K)</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Clear a Critical (90+ day) exception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Controller must document resolution rationale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Override a materiality flag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Controller must document justification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Declare close complete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CFO sign-off on Rec Package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Modify thresholds.yaml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Controller and CFO approval before client deployment</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10. Data Sources</w:t>
      </w:r>
    </w:p>
    <w:p>
      <w:pPr>
        <w:pStyle w:val="Heading2"/>
        <w:spacing w:after="80" w:before="240"/>
      </w:pPr>
      <w:r>
        <w:rPr>
          <w:rFonts w:ascii="Arial" w:cs="Arial" w:eastAsia="Arial" w:hAnsi="Arial"/>
          <w:b/>
          <w:bCs/>
          <w:color w:val="2E75B6"/>
          <w:sz w:val="26"/>
          <w:szCs w:val="26"/>
        </w:rPr>
        <w:t xml:space="preserve">10.1 Phase 1 — Synthetic dataset</w:t>
      </w:r>
    </w:p>
    <w:p>
      <w:pPr>
        <w:spacing w:after="120" w:before="0"/>
      </w:pPr>
      <w:r>
        <w:rPr>
          <w:rFonts w:ascii="Arial" w:cs="Arial" w:eastAsia="Arial" w:hAnsi="Arial"/>
          <w:b w:val="false"/>
          <w:bCs w:val="false"/>
          <w:i w:val="false"/>
          <w:iCs w:val="false"/>
          <w:color w:val="1A1A1A"/>
          <w:sz w:val="20"/>
          <w:szCs w:val="20"/>
        </w:rPr>
        <w:t xml:space="preserve">The system ships with a fully synthetic dataset at data/synthetic/lumina_recon_dataset.xlsx. This dataset is used for development, testing, and prospect demos. It contains intentional embedded findings that the agents are designed to surface.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Contents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TrialBalance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BS accounts with Nov-26 actual, Oct-26 prior, budget</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BankRec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 statement structure with outstanding checks and DITs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IntercoMatrix</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 receivables and payables across three entities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AR_Aging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 aging by customer across four aging buckets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AccrualSchedule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Accrual schedule with prior balances, current activity, status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PrepaidSchedule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Prepaid schedule with amortization and contract terms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FixedAssets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 register with net book values and depreciation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DeferredRevenue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Subscriber billing schedule and deferred revenue rollforward</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10.2 Phase 2 — Live data via MCP connectors</w:t>
      </w:r>
    </w:p>
    <w:p>
      <w:pPr>
        <w:spacing w:after="120" w:before="0"/>
      </w:pPr>
      <w:r>
        <w:rPr>
          <w:rFonts w:ascii="Arial" w:cs="Arial" w:eastAsia="Arial" w:hAnsi="Arial"/>
          <w:b w:val="false"/>
          <w:bCs w:val="false"/>
          <w:i w:val="false"/>
          <w:iCs w:val="false"/>
          <w:color w:val="1A1A1A"/>
          <w:sz w:val="20"/>
          <w:szCs w:val="20"/>
        </w:rPr>
        <w:t xml:space="preserve">Phase 2 replaces file uploads with live MCP connectors to ERP and financial systems.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Data provided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Google Drive MCP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Prepaid schedules, accrual schedules, IC reports (Finance-maintained files)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NetSuite / SAP MCP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Trial balance, sub-ledger aging reports, JE log</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Bank data feed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 statements via direct bank API or treasury system export</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Billing system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Subscriber counts and deferred revenue rollforward</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11. Repository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20"/>
            </w:pPr>
            <w:r>
              <w:rPr>
                <w:rFonts w:ascii="Courier New" w:cs="Courier New" w:eastAsia="Courier New" w:hAnsi="Courier New"/>
                <w:sz w:val="16"/>
                <w:szCs w:val="16"/>
              </w:rPr>
              <w:t xml:space="preserve">bs-recon-agent/</w:t>
            </w:r>
          </w:p>
          <w:p>
            <w:pPr>
              <w:spacing w:after="20"/>
            </w:pPr>
            <w:r>
              <w:rPr>
                <w:rFonts w:ascii="Courier New" w:cs="Courier New" w:eastAsia="Courier New" w:hAnsi="Courier New"/>
                <w:sz w:val="16"/>
                <w:szCs w:val="16"/>
              </w:rPr>
              <w:t xml:space="preserve">├── CLAUDE.md                    Project conventions and architecture</w:t>
            </w:r>
          </w:p>
          <w:p>
            <w:pPr>
              <w:spacing w:after="20"/>
            </w:pPr>
            <w:r>
              <w:rPr>
                <w:rFonts w:ascii="Courier New" w:cs="Courier New" w:eastAsia="Courier New" w:hAnsi="Courier New"/>
                <w:sz w:val="16"/>
                <w:szCs w:val="16"/>
              </w:rPr>
              <w:t xml:space="preserve">├── README.md                    Public overview</w:t>
            </w:r>
          </w:p>
          <w:p>
            <w:pPr>
              <w:spacing w:after="20"/>
            </w:pPr>
            <w:r>
              <w:rPr>
                <w:rFonts w:ascii="Courier New" w:cs="Courier New" w:eastAsia="Courier New" w:hAnsi="Courier New"/>
                <w:sz w:val="16"/>
                <w:szCs w:val="16"/>
              </w:rPr>
              <w:t xml:space="preserve">├── PRIVACY.md                   Data handling policy (pending)</w:t>
            </w:r>
          </w:p>
          <w:p>
            <w:pPr>
              <w:spacing w:after="20"/>
            </w:pPr>
            <w:r>
              <w:rPr>
                <w:rFonts w:ascii="Courier New" w:cs="Courier New" w:eastAsia="Courier New" w:hAnsi="Courier New"/>
                <w:sz w:val="16"/>
                <w:szCs w:val="16"/>
              </w:rPr>
              <w:t xml:space="preserve">├── SECURITY.md                  Security policy (pending)</w:t>
            </w:r>
          </w:p>
          <w:p>
            <w:pPr>
              <w:spacing w:after="20"/>
            </w:pPr>
            <w:r>
              <w:rPr>
                <w:rFonts w:ascii="Courier New" w:cs="Courier New" w:eastAsia="Courier New" w:hAnsi="Courier New"/>
                <w:sz w:val="16"/>
                <w:szCs w:val="16"/>
              </w:rPr>
              <w:t xml:space="preserve">├── CHANGELOG.md                 Build history (pending)</w:t>
            </w:r>
          </w:p>
          <w:p>
            <w:pPr>
              <w:spacing w:after="20"/>
            </w:pPr>
            <w:r>
              <w:rPr>
                <w:rFonts w:ascii="Courier New" w:cs="Courier New" w:eastAsia="Courier New" w:hAnsi="Courier New"/>
                <w:sz w:val="16"/>
                <w:szCs w:val="16"/>
              </w:rPr>
              <w:t xml:space="preserve">├── requirements.txt             Python dependencies (pending)</w:t>
            </w:r>
          </w:p>
          <w:p>
            <w:pPr>
              <w:spacing w:after="20"/>
            </w:pPr>
            <w:r>
              <w:rPr>
                <w:rFonts w:ascii="Courier New" w:cs="Courier New" w:eastAsia="Courier New" w:hAnsi="Courier New"/>
                <w:sz w:val="16"/>
                <w:szCs w:val="16"/>
              </w:rPr>
              <w:t xml:space="preserve">├── config/</w:t>
            </w:r>
          </w:p>
          <w:p>
            <w:pPr>
              <w:spacing w:after="20"/>
            </w:pPr>
            <w:r>
              <w:rPr>
                <w:rFonts w:ascii="Courier New" w:cs="Courier New" w:eastAsia="Courier New" w:hAnsi="Courier New"/>
                <w:sz w:val="16"/>
                <w:szCs w:val="16"/>
              </w:rPr>
              <w:t xml:space="preserve">│   ├── thresholds.yaml          All materiality and aging thresholds</w:t>
            </w:r>
          </w:p>
          <w:p>
            <w:pPr>
              <w:spacing w:after="20"/>
            </w:pPr>
            <w:r>
              <w:rPr>
                <w:rFonts w:ascii="Courier New" w:cs="Courier New" w:eastAsia="Courier New" w:hAnsi="Courier New"/>
                <w:sz w:val="16"/>
                <w:szCs w:val="16"/>
              </w:rPr>
              <w:t xml:space="preserve">│   └── account-map.yaml         COA mapping by category and entity</w:t>
            </w:r>
          </w:p>
          <w:p>
            <w:pPr>
              <w:spacing w:after="20"/>
            </w:pPr>
            <w:r>
              <w:rPr>
                <w:rFonts w:ascii="Courier New" w:cs="Courier New" w:eastAsia="Courier New" w:hAnsi="Courier New"/>
                <w:sz w:val="16"/>
                <w:szCs w:val="16"/>
              </w:rPr>
              <w:t xml:space="preserve">├── agents/</w:t>
            </w:r>
          </w:p>
          <w:p>
            <w:pPr>
              <w:spacing w:after="20"/>
            </w:pPr>
            <w:r>
              <w:rPr>
                <w:rFonts w:ascii="Courier New" w:cs="Courier New" w:eastAsia="Courier New" w:hAnsi="Courier New"/>
                <w:sz w:val="16"/>
                <w:szCs w:val="16"/>
              </w:rPr>
              <w:t xml:space="preserve">│   ├── account-reconciliation/AGENT.md</w:t>
            </w:r>
          </w:p>
          <w:p>
            <w:pPr>
              <w:spacing w:after="20"/>
            </w:pPr>
            <w:r>
              <w:rPr>
                <w:rFonts w:ascii="Courier New" w:cs="Courier New" w:eastAsia="Courier New" w:hAnsi="Courier New"/>
                <w:sz w:val="16"/>
                <w:szCs w:val="16"/>
              </w:rPr>
              <w:t xml:space="preserve">│   ├── exception-management/AGENT.md</w:t>
            </w:r>
          </w:p>
          <w:p>
            <w:pPr>
              <w:spacing w:after="20"/>
            </w:pPr>
            <w:r>
              <w:rPr>
                <w:rFonts w:ascii="Courier New" w:cs="Courier New" w:eastAsia="Courier New" w:hAnsi="Courier New"/>
                <w:sz w:val="16"/>
                <w:szCs w:val="16"/>
              </w:rPr>
              <w:t xml:space="preserve">│   └── rec-package/AGENT.md</w:t>
            </w:r>
          </w:p>
          <w:p>
            <w:pPr>
              <w:spacing w:after="20"/>
            </w:pPr>
            <w:r>
              <w:rPr>
                <w:rFonts w:ascii="Courier New" w:cs="Courier New" w:eastAsia="Courier New" w:hAnsi="Courier New"/>
                <w:sz w:val="16"/>
                <w:szCs w:val="16"/>
              </w:rPr>
              <w:t xml:space="preserve">├── skills/</w:t>
            </w:r>
          </w:p>
          <w:p>
            <w:pPr>
              <w:spacing w:after="20"/>
            </w:pPr>
            <w:r>
              <w:rPr>
                <w:rFonts w:ascii="Courier New" w:cs="Courier New" w:eastAsia="Courier New" w:hAnsi="Courier New"/>
                <w:sz w:val="16"/>
                <w:szCs w:val="16"/>
              </w:rPr>
              <w:t xml:space="preserve">│   ├── bs-reconciliation/SKILL.md    ✓ Complete</w:t>
            </w:r>
          </w:p>
          <w:p>
            <w:pPr>
              <w:spacing w:after="20"/>
            </w:pPr>
            <w:r>
              <w:rPr>
                <w:rFonts w:ascii="Courier New" w:cs="Courier New" w:eastAsia="Courier New" w:hAnsi="Courier New"/>
                <w:sz w:val="16"/>
                <w:szCs w:val="16"/>
              </w:rPr>
              <w:t xml:space="preserve">│   ├── materiality-thresholds/</w:t>
            </w:r>
          </w:p>
          <w:p>
            <w:pPr>
              <w:spacing w:after="20"/>
            </w:pPr>
            <w:r>
              <w:rPr>
                <w:rFonts w:ascii="Courier New" w:cs="Courier New" w:eastAsia="Courier New" w:hAnsi="Courier New"/>
                <w:sz w:val="16"/>
                <w:szCs w:val="16"/>
              </w:rPr>
              <w:t xml:space="preserve">│   ├── je-review/</w:t>
            </w:r>
          </w:p>
          <w:p>
            <w:pPr>
              <w:spacing w:after="20"/>
            </w:pPr>
            <w:r>
              <w:rPr>
                <w:rFonts w:ascii="Courier New" w:cs="Courier New" w:eastAsia="Courier New" w:hAnsi="Courier New"/>
                <w:sz w:val="16"/>
                <w:szCs w:val="16"/>
              </w:rPr>
              <w:t xml:space="preserve">│   └── finance-conventions/</w:t>
            </w:r>
          </w:p>
          <w:p>
            <w:pPr>
              <w:spacing w:after="20"/>
            </w:pPr>
            <w:r>
              <w:rPr>
                <w:rFonts w:ascii="Courier New" w:cs="Courier New" w:eastAsia="Courier New" w:hAnsi="Courier New"/>
                <w:sz w:val="16"/>
                <w:szCs w:val="16"/>
              </w:rPr>
              <w:t xml:space="preserve">├── data/</w:t>
            </w:r>
          </w:p>
          <w:p>
            <w:pPr>
              <w:spacing w:after="20"/>
            </w:pPr>
            <w:r>
              <w:rPr>
                <w:rFonts w:ascii="Courier New" w:cs="Courier New" w:eastAsia="Courier New" w:hAnsi="Courier New"/>
                <w:sz w:val="16"/>
                <w:szCs w:val="16"/>
              </w:rPr>
              <w:t xml:space="preserve">│   ├── synthetic/lumina_recon_dataset.xlsx  (pending)</w:t>
            </w:r>
          </w:p>
          <w:p>
            <w:pPr>
              <w:spacing w:after="20"/>
            </w:pPr>
            <w:r>
              <w:rPr>
                <w:rFonts w:ascii="Courier New" w:cs="Courier New" w:eastAsia="Courier New" w:hAnsi="Courier New"/>
                <w:sz w:val="16"/>
                <w:szCs w:val="16"/>
              </w:rPr>
              <w:t xml:space="preserve">│   └── client/                              gitignored</w:t>
            </w:r>
          </w:p>
          <w:p>
            <w:pPr>
              <w:spacing w:after="20"/>
            </w:pPr>
            <w:r>
              <w:rPr>
                <w:rFonts w:ascii="Courier New" w:cs="Courier New" w:eastAsia="Courier New" w:hAnsi="Courier New"/>
                <w:sz w:val="16"/>
                <w:szCs w:val="16"/>
              </w:rPr>
              <w:t xml:space="preserve">├── workpapers/</w:t>
            </w:r>
          </w:p>
          <w:p>
            <w:pPr>
              <w:spacing w:after="20"/>
            </w:pPr>
            <w:r>
              <w:rPr>
                <w:rFonts w:ascii="Courier New" w:cs="Courier New" w:eastAsia="Courier New" w:hAnsi="Courier New"/>
                <w:sz w:val="16"/>
                <w:szCs w:val="16"/>
              </w:rPr>
              <w:t xml:space="preserve">│   └── 2026-11/                    Reference workpapers</w:t>
            </w:r>
          </w:p>
          <w:p>
            <w:pPr>
              <w:spacing w:after="20"/>
            </w:pPr>
            <w:r>
              <w:rPr>
                <w:rFonts w:ascii="Courier New" w:cs="Courier New" w:eastAsia="Courier New" w:hAnsi="Courier New"/>
                <w:sz w:val="16"/>
                <w:szCs w:val="16"/>
              </w:rPr>
              <w:t xml:space="preserve">├── outputs/</w:t>
            </w:r>
          </w:p>
          <w:p>
            <w:pPr>
              <w:spacing w:after="20"/>
            </w:pPr>
            <w:r>
              <w:rPr>
                <w:rFonts w:ascii="Courier New" w:cs="Courier New" w:eastAsia="Courier New" w:hAnsi="Courier New"/>
                <w:sz w:val="16"/>
                <w:szCs w:val="16"/>
              </w:rPr>
              <w:t xml:space="preserve">│   └── 2026-11/                    Agent-generated outputs</w:t>
            </w:r>
          </w:p>
          <w:p>
            <w:pPr>
              <w:spacing w:after="20"/>
            </w:pPr>
            <w:r>
              <w:rPr>
                <w:rFonts w:ascii="Courier New" w:cs="Courier New" w:eastAsia="Courier New" w:hAnsi="Courier New"/>
                <w:sz w:val="16"/>
                <w:szCs w:val="16"/>
              </w:rPr>
              <w:t xml:space="preserve">└── scripts/</w:t>
            </w:r>
          </w:p>
          <w:p>
            <w:pPr>
              <w:spacing w:after="20"/>
            </w:pPr>
            <w:r>
              <w:rPr>
                <w:rFonts w:ascii="Courier New" w:cs="Courier New" w:eastAsia="Courier New" w:hAnsi="Courier New"/>
                <w:sz w:val="16"/>
                <w:szCs w:val="16"/>
              </w:rPr>
              <w:t xml:space="preserve">    ├── build_dataset.py</w:t>
            </w:r>
          </w:p>
          <w:p>
            <w:pPr>
              <w:spacing w:after="20"/>
            </w:pPr>
            <w:r>
              <w:rPr>
                <w:rFonts w:ascii="Courier New" w:cs="Courier New" w:eastAsia="Courier New" w:hAnsi="Courier New"/>
                <w:sz w:val="16"/>
                <w:szCs w:val="16"/>
              </w:rPr>
              <w:t xml:space="preserve">    └── push.sh</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12.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Scope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v0.1.0 — Complete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Initial scaffold, CLAUDE.md, config files, bs-reconciliation SKILL.md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v0.2.0 — Pending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Synthetic dataset — all 8 sheets with embedded findings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v0.3.0 — Pending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3 AGENT.md files and remaining 3 SKILL.md files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v0.4.0 — Pending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 Reconciliation Agent reference outputs — November 2026</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v0.5.0 — Pending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Exception Management Agent reference outputs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v0.6.0 — Pending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 Package Agent — full monthly rec package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v0.7.0 — Pending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PRIVACY.md, SECURITY.md, CHANGELOG.md, requirements.txt, docs/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v1.0.0 — Target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close cycle, MCP connectors, client pilot ready</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13.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What to do instead</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Reconciling to the wrong source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 the bank statement cutoff matches the GL period before starting. Around quarter-end, cutoffs often diverge.</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Auto-clearing items without explanation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reconciling item requires a documented reason. Plug entries are forbidden and will be flagged in the audit trail.</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Round numbers treated as accurate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reconciling item of exactly $1,500,000 is more suspicious than $1,487,234. Flag for investigation.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Sign errors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finance-conventions for each entity. GL sign conventions vary by ERP system and can cause systematic rec errors.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Prioritizing amount over 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$25K item outstanding for 90 days is more concerning than a $250K item that just appeared. Both matter.</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Drifting into P&amp;L analysis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P&amp;L variance work belongs to the Flux &amp; Variance Agent. If a P&amp;L issue surfaces during BS rec, note it for handoff and move 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Incomplete IC matrix</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IC recs require all entity pairs. Missing one entity from the matrix produces a false reconciliation.</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14. Related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Relationship</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close-system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Reconciliation Agent in the close-system is a lighter, embedded version of this dedicated system. This repo is the standalone, full-depth version for clients whose primary pain point is the BS rec process.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headcount-agent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People cost data from the headcount system (accrued compensation, prepaid benefits) feeds directly into this system's accrual and prepaid recs.</w:t>
            </w:r>
          </w:p>
        </w:tc>
      </w:tr>
    </w:tbl>
    <w:p>
      <w:pPr>
        <w:spacing w:after="80"/>
      </w:pPr>
      <w:r>
        <w:t xml:space="preserve"/>
      </w:r>
    </w:p>
    <w:p>
      <w:pPr>
        <w:pStyle w:val="Heading1"/>
        <w:pBdr>
          <w:bottom w:val="single" w:color="1F4E78" w:sz="6" w:space="4"/>
        </w:pBdr>
        <w:spacing w:after="120" w:before="300"/>
      </w:pPr>
      <w:r>
        <w:rPr>
          <w:rFonts w:ascii="Arial" w:cs="Arial" w:eastAsia="Arial" w:hAnsi="Arial"/>
          <w:b/>
          <w:bCs/>
          <w:color w:val="1F4E78"/>
          <w:sz w:val="32"/>
          <w:szCs w:val="32"/>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rFonts w:ascii="Arial" w:cs="Arial" w:eastAsia="Arial" w:hAnsi="Arial"/>
                <w:b w:val="false"/>
                <w:bCs w:val="false"/>
                <w:color w:val="FFFFFF"/>
                <w:sz w:val="20"/>
                <w:szCs w:val="20"/>
              </w:rPr>
              <w:t xml:space="preserve">Definition</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DIT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Deposit in Transit — cash receipt recorded in the GL but not yet reflected on the bank statement</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IC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Intercompany — transactions between entities within the same consolidated group</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JE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Journal Entry — an accounting entry to record a financial transaction in the GL</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GL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 Ledger — the primary accounting record of a company's financial transactions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Subledger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subsidiary ledger that provides detail supporting a GL control account (e.g. AR aging)</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Trivial threshold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Aggregate dollar amount below which items are noted in workpapers but excluded from executive memos</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Compa-ratio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applicable here — see headcount-agent glossary</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SOX 302/404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Sarbanes-Oxley sections requiring CEO/CFO certification (302) and management assessment (404) of internal controls over financial reporting</w:t>
            </w:r>
          </w:p>
        </w:tc>
      </w:tr>
      <w:tr>
        <w:tc>
          <w:tcPr>
            <w:tcW w:type="dxa" w:w="28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color w:val="1F4E78"/>
                <w:sz w:val="20"/>
                <w:szCs w:val="20"/>
              </w:rPr>
              <w:t xml:space="preserve">Output envelope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JSON block every agent returns, containing result, exceptions[], proposed_jes[], and _metadata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8" w:sz="4" w:space="4"/>
      </w:pBdr>
      <w:tabs>
        <w:tab w:val="right" w:pos="9360"/>
      </w:tabs>
      <w:spacing w:before="80"/>
    </w:pPr>
    <w:r>
      <w:rPr>
        <w:rFonts w:ascii="Arial" w:cs="Arial" w:eastAsia="Arial" w:hAnsi="Arial"/>
        <w:color w:val="666666"/>
        <w:sz w:val="16"/>
        <w:szCs w:val="16"/>
      </w:rPr>
      <w:t xml:space="preserve">Prepared by Close Reporting System  |  Anthropic Claude</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tabs>
        <w:tab w:val="right" w:pos="9360"/>
      </w:tabs>
      <w:spacing w:after="80"/>
    </w:pPr>
    <w:r>
      <w:rPr>
        <w:rFonts w:ascii="Arial" w:cs="Arial" w:eastAsia="Arial" w:hAnsi="Arial"/>
        <w:color w:val="666666"/>
        <w:sz w:val="18"/>
        <w:szCs w:val="18"/>
      </w:rPr>
      <w:t xml:space="preserve">Balance Sheet Reconciliation Agent System</w:t>
    </w:r>
    <w:r>
      <w:rPr>
        <w:rFonts w:ascii="Arial" w:cs="Arial" w:eastAsia="Arial" w:hAnsi="Arial"/>
        <w:sz w:val="18"/>
        <w:szCs w:val="18"/>
      </w:rPr>
      <w:t xml:space="preserve">	</w:t>
    </w:r>
    <w:r>
      <w:rPr>
        <w:rFonts w:ascii="Arial" w:cs="Arial" w:eastAsia="Arial" w:hAnsi="Arial"/>
        <w:color w:val="666666"/>
        <w:sz w:val="18"/>
        <w:szCs w:val="18"/>
      </w:rPr>
      <w:t xml:space="preserve">CONFIDENTIAL  |  Lumina Streaming Co.  |  November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2026-05-30T15:59:03.780Z</dcterms:created>
  <dcterms:modified xsi:type="dcterms:W3CDTF">2026-05-30T15:59:03.794Z</dcterms:modified>
</cp:coreProperties>
</file>

<file path=docProps/custom.xml><?xml version="1.0" encoding="utf-8"?>
<Properties xmlns="http://schemas.openxmlformats.org/officeDocument/2006/custom-properties" xmlns:vt="http://schemas.openxmlformats.org/officeDocument/2006/docPropsVTypes"/>
</file>