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119830e45b370664913b2a4368697a93acc2276"/>
    <w:p>
      <w:pPr>
        <w:pStyle w:val="Heading1"/>
      </w:pPr>
      <w:r>
        <w:t xml:space="preserve">Balance Sheet Reconciliation Package — Executive Summary</w:t>
      </w:r>
    </w:p>
    <w:p>
      <w:pPr>
        <w:pStyle w:val="FirstParagraph"/>
      </w:pPr>
      <w:r>
        <w:rPr>
          <w:b/>
          <w:bCs/>
        </w:rPr>
        <w:t xml:space="preserve">Entity:</w:t>
      </w:r>
      <w:r>
        <w:t xml:space="preserve"> </w:t>
      </w:r>
      <w:r>
        <w:t xml:space="preserve">LuminaUS |</w:t>
      </w:r>
      <w:r>
        <w:t xml:space="preserve"> </w:t>
      </w:r>
      <w:r>
        <w:rPr>
          <w:b/>
          <w:bCs/>
        </w:rPr>
        <w:t xml:space="preserve">Period:</w:t>
      </w:r>
      <w:r>
        <w:t xml:space="preserve"> </w:t>
      </w:r>
      <w:r>
        <w:t xml:space="preserve">November 2026 |</w:t>
      </w:r>
      <w:r>
        <w:t xml:space="preserve"> </w:t>
      </w:r>
      <w:r>
        <w:rPr>
          <w:b/>
          <w:bCs/>
        </w:rPr>
        <w:t xml:space="preserve">Package version:</w:t>
      </w:r>
      <w:r>
        <w:t xml:space="preserve"> </w:t>
      </w:r>
      <w:r>
        <w:t xml:space="preserve">v1</w:t>
      </w:r>
      <w:r>
        <w:t xml:space="preserve"> </w:t>
      </w:r>
      <w:r>
        <w:rPr>
          <w:b/>
          <w:bCs/>
        </w:rPr>
        <w:t xml:space="preserve">Prepared by:</w:t>
      </w:r>
      <w:r>
        <w:t xml:space="preserve"> </w:t>
      </w:r>
      <w:r>
        <w:t xml:space="preserve">Rec Package Agent v0.1.0 |</w:t>
      </w:r>
      <w:r>
        <w:t xml:space="preserve"> </w:t>
      </w:r>
      <w:r>
        <w:rPr>
          <w:b/>
          <w:bCs/>
        </w:rPr>
        <w:t xml:space="preserve">Run date:</w:t>
      </w:r>
      <w:r>
        <w:t xml:space="preserve"> </w:t>
      </w:r>
      <w:r>
        <w:t xml:space="preserve">2026-12-05</w:t>
      </w:r>
      <w:r>
        <w:t xml:space="preserve"> </w:t>
      </w:r>
      <w:r>
        <w:rPr>
          <w:b/>
          <w:bCs/>
        </w:rPr>
        <w:t xml:space="preserve">Controller sign-off:</w:t>
      </w:r>
      <w:r>
        <w:t xml:space="preserve"> </w:t>
      </w:r>
      <w:r>
        <w:t xml:space="preserve">___________________ |</w:t>
      </w:r>
      <w:r>
        <w:t xml:space="preserve"> </w:t>
      </w:r>
      <w:r>
        <w:rPr>
          <w:b/>
          <w:bCs/>
        </w:rPr>
        <w:t xml:space="preserve">CFO sign-off:</w:t>
      </w:r>
      <w:r>
        <w:t xml:space="preserve"> </w:t>
      </w:r>
      <w:r>
        <w:t xml:space="preserve">___________________</w:t>
      </w:r>
    </w:p>
    <w:p>
      <w:r>
        <w:pict>
          <v:rect style="width:0;height:1.5pt" o:hralign="center" o:hrstd="t" o:hr="t"/>
        </w:pict>
      </w:r>
    </w:p>
    <w:bookmarkStart w:id="9" w:name="package-status"/>
    <w:p>
      <w:pPr>
        <w:pStyle w:val="Heading2"/>
      </w:pPr>
      <w:r>
        <w:t xml:space="preserve">Package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Accounts reconciled</w:t>
            </w:r>
          </w:p>
        </w:tc>
        <w:tc>
          <w:tcPr/>
          <w:p>
            <w:pPr>
              <w:pStyle w:val="Compact"/>
            </w:pPr>
            <w:r>
              <w:t xml:space="preserve">22 of 22</w:t>
            </w:r>
          </w:p>
        </w:tc>
      </w:tr>
      <w:tr>
        <w:tc>
          <w:tcPr/>
          <w:p>
            <w:pPr>
              <w:pStyle w:val="Compact"/>
            </w:pPr>
            <w:r>
              <w:t xml:space="preserve">Clean (no exceptions)</w:t>
            </w:r>
          </w:p>
        </w:tc>
        <w:tc>
          <w:tcPr/>
          <w:p>
            <w:pPr>
              <w:pStyle w:val="Compact"/>
            </w:pPr>
            <w:r>
              <w:t xml:space="preserve">17</w:t>
            </w:r>
          </w:p>
        </w:tc>
      </w:tr>
      <w:tr>
        <w:tc>
          <w:tcPr/>
          <w:p>
            <w:pPr>
              <w:pStyle w:val="Compact"/>
            </w:pPr>
            <w:r>
              <w:t xml:space="preserve">Exceptions — resolved by BD5</w:t>
            </w:r>
          </w:p>
        </w:tc>
        <w:tc>
          <w:tcPr/>
          <w:p>
            <w:pPr>
              <w:pStyle w:val="Compact"/>
            </w:pPr>
            <w:r>
              <w:t xml:space="preserve">3</w:t>
            </w:r>
          </w:p>
        </w:tc>
      </w:tr>
      <w:tr>
        <w:tc>
          <w:tcPr/>
          <w:p>
            <w:pPr>
              <w:pStyle w:val="Compact"/>
            </w:pPr>
            <w:r>
              <w:t xml:space="preserve">Exceptions — open / deferred</w:t>
            </w:r>
          </w:p>
        </w:tc>
        <w:tc>
          <w:tcPr/>
          <w:p>
            <w:pPr>
              <w:pStyle w:val="Compact"/>
            </w:pPr>
            <w:r>
              <w:t xml:space="preserve">2</w:t>
            </w:r>
          </w:p>
        </w:tc>
      </w:tr>
      <w:tr>
        <w:tc>
          <w:tcPr/>
          <w:p>
            <w:pPr>
              <w:pStyle w:val="Compact"/>
            </w:pPr>
            <w:r>
              <w:t xml:space="preserve">Net unbooked items</w:t>
            </w:r>
          </w:p>
        </w:tc>
        <w:tc>
          <w:tcPr/>
          <w:p>
            <w:pPr>
              <w:pStyle w:val="Compact"/>
            </w:pPr>
            <w:r>
              <w:t xml:space="preserve">$101,650</w:t>
            </w:r>
          </w:p>
        </w:tc>
      </w:tr>
      <w:tr>
        <w:tc>
          <w:tcPr/>
          <w:p>
            <w:pPr>
              <w:pStyle w:val="Compact"/>
            </w:pPr>
            <w:r>
              <w:t xml:space="preserve">Proposed JEs pending approval</w:t>
            </w:r>
          </w:p>
        </w:tc>
        <w:tc>
          <w:tcPr/>
          <w:p>
            <w:pPr>
              <w:pStyle w:val="Compact"/>
            </w:pPr>
            <w:r>
              <w:t xml:space="preserve">2</w:t>
            </w:r>
          </w:p>
        </w:tc>
      </w:tr>
      <w:tr>
        <w:tc>
          <w:tcPr/>
          <w:p>
            <w:pPr>
              <w:pStyle w:val="Compact"/>
            </w:pPr>
            <w:r>
              <w:t xml:space="preserve">Total balance sheet covered</w:t>
            </w:r>
          </w:p>
        </w:tc>
        <w:tc>
          <w:tcPr/>
          <w:p>
            <w:pPr>
              <w:pStyle w:val="Compact"/>
            </w:pPr>
            <w:r>
              <w:t xml:space="preserve">$1,574,800,000</w:t>
            </w:r>
          </w:p>
        </w:tc>
      </w:tr>
    </w:tbl>
    <w:p>
      <w:r>
        <w:pict>
          <v:rect style="width:0;height:1.5pt" o:hralign="center" o:hrstd="t" o:hr="t"/>
        </w:pict>
      </w:r>
    </w:p>
    <w:bookmarkEnd w:id="9"/>
    <w:bookmarkStart w:id="10" w:name="account-reconciliation-summary"/>
    <w:p>
      <w:pPr>
        <w:pStyle w:val="Heading2"/>
      </w:pPr>
      <w:r>
        <w:t xml:space="preserve">Account reconciliation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Account</w:t>
            </w:r>
          </w:p>
        </w:tc>
        <w:tc>
          <w:tcPr/>
          <w:p>
            <w:pPr>
              <w:pStyle w:val="Compact"/>
            </w:pPr>
            <w:r>
              <w:t xml:space="preserve">Name</w:t>
            </w:r>
          </w:p>
        </w:tc>
        <w:tc>
          <w:tcPr/>
          <w:p>
            <w:pPr>
              <w:pStyle w:val="Compact"/>
            </w:pPr>
            <w:r>
              <w:t xml:space="preserve">GL Balance</w:t>
            </w:r>
          </w:p>
        </w:tc>
        <w:tc>
          <w:tcPr/>
          <w:p>
            <w:pPr>
              <w:pStyle w:val="Compact"/>
            </w:pPr>
            <w:r>
              <w:t xml:space="preserve">Status</w:t>
            </w:r>
          </w:p>
        </w:tc>
        <w:tc>
          <w:tcPr/>
          <w:p>
            <w:pPr>
              <w:pStyle w:val="Compact"/>
            </w:pPr>
            <w:r>
              <w:t xml:space="preserve">Exceptions</w:t>
            </w:r>
          </w:p>
        </w:tc>
        <w:tc>
          <w:tcPr/>
          <w:p>
            <w:pPr>
              <w:pStyle w:val="Compact"/>
            </w:pPr>
            <w:r>
              <w:t xml:space="preserve">Net Unbooked</w:t>
            </w:r>
          </w:p>
        </w:tc>
        <w:tc>
          <w:tcPr/>
          <w:p>
            <w:pPr>
              <w:pStyle w:val="Compact"/>
            </w:pPr>
            <w:r>
              <w:t xml:space="preserve">Sign-off</w:t>
            </w:r>
          </w:p>
        </w:tc>
      </w:tr>
      <w:tr>
        <w:tc>
          <w:tcPr/>
          <w:p>
            <w:pPr>
              <w:pStyle w:val="Compact"/>
            </w:pPr>
            <w:r>
              <w:t xml:space="preserve">100100</w:t>
            </w:r>
          </w:p>
        </w:tc>
        <w:tc>
          <w:tcPr/>
          <w:p>
            <w:pPr>
              <w:pStyle w:val="Compact"/>
            </w:pPr>
            <w:r>
              <w:t xml:space="preserve">Cash – Operating</w:t>
            </w:r>
          </w:p>
        </w:tc>
        <w:tc>
          <w:tcPr/>
          <w:p>
            <w:pPr>
              <w:pStyle w:val="Compact"/>
            </w:pPr>
            <w:r>
              <w:t xml:space="preserve">$142,500,000</w:t>
            </w:r>
          </w:p>
        </w:tc>
        <w:tc>
          <w:tcPr/>
          <w:p>
            <w:pPr>
              <w:pStyle w:val="Compact"/>
            </w:pPr>
            <w:r>
              <w:t xml:space="preserve">Exceptions – Resolved</w:t>
            </w:r>
          </w:p>
        </w:tc>
        <w:tc>
          <w:tcPr/>
          <w:p>
            <w:pPr>
              <w:pStyle w:val="Compact"/>
            </w:pPr>
            <w:r>
              <w:t xml:space="preserve">2</w:t>
            </w:r>
          </w:p>
        </w:tc>
        <w:tc>
          <w:tcPr/>
          <w:p>
            <w:pPr>
              <w:pStyle w:val="Compact"/>
            </w:pPr>
            <w:r>
              <w:t xml:space="preserve">$1,650</w:t>
            </w:r>
          </w:p>
        </w:tc>
        <w:tc>
          <w:tcPr/>
          <w:p>
            <w:pPr>
              <w:pStyle w:val="Compact"/>
            </w:pPr>
            <w:r>
              <w:t xml:space="preserve">Pending</w:t>
            </w:r>
          </w:p>
        </w:tc>
      </w:tr>
      <w:tr>
        <w:tc>
          <w:tcPr/>
          <w:p>
            <w:pPr>
              <w:pStyle w:val="Compact"/>
            </w:pPr>
            <w:r>
              <w:t xml:space="preserve">100200</w:t>
            </w:r>
          </w:p>
        </w:tc>
        <w:tc>
          <w:tcPr/>
          <w:p>
            <w:pPr>
              <w:pStyle w:val="Compact"/>
            </w:pPr>
            <w:r>
              <w:t xml:space="preserve">Cash – Money Market</w:t>
            </w:r>
          </w:p>
        </w:tc>
        <w:tc>
          <w:tcPr/>
          <w:p>
            <w:pPr>
              <w:pStyle w:val="Compact"/>
            </w:pPr>
            <w:r>
              <w:t xml:space="preserve">$85,000,000</w:t>
            </w:r>
          </w:p>
        </w:tc>
        <w:tc>
          <w:tcPr/>
          <w:p>
            <w:pPr>
              <w:pStyle w:val="Compact"/>
            </w:pPr>
            <w:r>
              <w:t xml:space="preserve">Exceptions – Resolved</w:t>
            </w:r>
          </w:p>
        </w:tc>
        <w:tc>
          <w:tcPr/>
          <w:p>
            <w:pPr>
              <w:pStyle w:val="Compact"/>
            </w:pPr>
            <w:r>
              <w:t xml:space="preserve">1</w:t>
            </w:r>
          </w:p>
        </w:tc>
        <w:tc>
          <w:tcPr/>
          <w:p>
            <w:pPr>
              <w:pStyle w:val="Compact"/>
            </w:pPr>
            <w:r>
              <w:t xml:space="preserve">$100,000</w:t>
            </w:r>
          </w:p>
        </w:tc>
        <w:tc>
          <w:tcPr/>
          <w:p>
            <w:pPr>
              <w:pStyle w:val="Compact"/>
            </w:pPr>
            <w:r>
              <w:t xml:space="preserve">Pending</w:t>
            </w:r>
          </w:p>
        </w:tc>
      </w:tr>
      <w:tr>
        <w:tc>
          <w:tcPr/>
          <w:p>
            <w:pPr>
              <w:pStyle w:val="Compact"/>
            </w:pPr>
            <w:r>
              <w:t xml:space="preserve">120100</w:t>
            </w:r>
          </w:p>
        </w:tc>
        <w:tc>
          <w:tcPr/>
          <w:p>
            <w:pPr>
              <w:pStyle w:val="Compact"/>
            </w:pPr>
            <w:r>
              <w:t xml:space="preserve">AR – Trade</w:t>
            </w:r>
          </w:p>
        </w:tc>
        <w:tc>
          <w:tcPr/>
          <w:p>
            <w:pPr>
              <w:pStyle w:val="Compact"/>
            </w:pPr>
            <w:r>
              <w:t xml:space="preserve">$45,000,000</w:t>
            </w:r>
          </w:p>
        </w:tc>
        <w:tc>
          <w:tcPr/>
          <w:p>
            <w:pPr>
              <w:pStyle w:val="Compact"/>
            </w:pPr>
            <w:r>
              <w:t xml:space="preserve">Exception – Open</w:t>
            </w:r>
          </w:p>
        </w:tc>
        <w:tc>
          <w:tcPr/>
          <w:p>
            <w:pPr>
              <w:pStyle w:val="Compact"/>
            </w:pPr>
            <w:r>
              <w:t xml:space="preserve">1</w:t>
            </w:r>
          </w:p>
        </w:tc>
        <w:tc>
          <w:tcPr/>
          <w:p>
            <w:pPr>
              <w:pStyle w:val="Compact"/>
            </w:pPr>
            <w:r>
              <w:t xml:space="preserve">$145,000</w:t>
            </w:r>
          </w:p>
        </w:tc>
        <w:tc>
          <w:tcPr/>
          <w:p>
            <w:pPr>
              <w:pStyle w:val="Compact"/>
            </w:pPr>
            <w:r>
              <w:t xml:space="preserve">Pending</w:t>
            </w:r>
          </w:p>
        </w:tc>
      </w:tr>
      <w:tr>
        <w:tc>
          <w:tcPr/>
          <w:p>
            <w:pPr>
              <w:pStyle w:val="Compact"/>
            </w:pPr>
            <w:r>
              <w:t xml:space="preserve">120200</w:t>
            </w:r>
          </w:p>
        </w:tc>
        <w:tc>
          <w:tcPr/>
          <w:p>
            <w:pPr>
              <w:pStyle w:val="Compact"/>
            </w:pPr>
            <w:r>
              <w:t xml:space="preserve">AR – Advertising</w:t>
            </w:r>
          </w:p>
        </w:tc>
        <w:tc>
          <w:tcPr/>
          <w:p>
            <w:pPr>
              <w:pStyle w:val="Compact"/>
            </w:pPr>
            <w:r>
              <w:t xml:space="preserve">$12,000,000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130100</w:t>
            </w:r>
          </w:p>
        </w:tc>
        <w:tc>
          <w:tcPr/>
          <w:p>
            <w:pPr>
              <w:pStyle w:val="Compact"/>
            </w:pPr>
            <w:r>
              <w:t xml:space="preserve">Prepaid Insurance</w:t>
            </w:r>
          </w:p>
        </w:tc>
        <w:tc>
          <w:tcPr/>
          <w:p>
            <w:pPr>
              <w:pStyle w:val="Compact"/>
            </w:pPr>
            <w:r>
              <w:t xml:space="preserve">$2,400,000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130200</w:t>
            </w:r>
          </w:p>
        </w:tc>
        <w:tc>
          <w:tcPr/>
          <w:p>
            <w:pPr>
              <w:pStyle w:val="Compact"/>
            </w:pPr>
            <w:r>
              <w:t xml:space="preserve">Prepaid Software</w:t>
            </w:r>
          </w:p>
        </w:tc>
        <w:tc>
          <w:tcPr/>
          <w:p>
            <w:pPr>
              <w:pStyle w:val="Compact"/>
            </w:pPr>
            <w:r>
              <w:t xml:space="preserve">$5,800,000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130300</w:t>
            </w:r>
          </w:p>
        </w:tc>
        <w:tc>
          <w:tcPr/>
          <w:p>
            <w:pPr>
              <w:pStyle w:val="Compact"/>
            </w:pPr>
            <w:r>
              <w:t xml:space="preserve">Prepaid Rent</w:t>
            </w:r>
          </w:p>
        </w:tc>
        <w:tc>
          <w:tcPr/>
          <w:p>
            <w:pPr>
              <w:pStyle w:val="Compact"/>
            </w:pPr>
            <w:r>
              <w:t xml:space="preserve">$1,200,000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130400</w:t>
            </w:r>
          </w:p>
        </w:tc>
        <w:tc>
          <w:tcPr/>
          <w:p>
            <w:pPr>
              <w:pStyle w:val="Compact"/>
            </w:pPr>
            <w:r>
              <w:t xml:space="preserve">Prepaid Marketing</w:t>
            </w:r>
          </w:p>
        </w:tc>
        <w:tc>
          <w:tcPr/>
          <w:p>
            <w:pPr>
              <w:pStyle w:val="Compact"/>
            </w:pPr>
            <w:r>
              <w:t xml:space="preserve">$3,600,000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150100</w:t>
            </w:r>
          </w:p>
        </w:tc>
        <w:tc>
          <w:tcPr/>
          <w:p>
            <w:pPr>
              <w:pStyle w:val="Compact"/>
            </w:pPr>
            <w:r>
              <w:t xml:space="preserve">PP&amp;E – Net</w:t>
            </w:r>
          </w:p>
        </w:tc>
        <w:tc>
          <w:tcPr/>
          <w:p>
            <w:pPr>
              <w:pStyle w:val="Compact"/>
            </w:pPr>
            <w:r>
              <w:t xml:space="preserve">$180,000,000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150200</w:t>
            </w:r>
          </w:p>
        </w:tc>
        <w:tc>
          <w:tcPr/>
          <w:p>
            <w:pPr>
              <w:pStyle w:val="Compact"/>
            </w:pPr>
            <w:r>
              <w:t xml:space="preserve">Intangibles – Net</w:t>
            </w:r>
          </w:p>
        </w:tc>
        <w:tc>
          <w:tcPr/>
          <w:p>
            <w:pPr>
              <w:pStyle w:val="Compact"/>
            </w:pPr>
            <w:r>
              <w:t xml:space="preserve">$420,000,000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200100</w:t>
            </w:r>
          </w:p>
        </w:tc>
        <w:tc>
          <w:tcPr/>
          <w:p>
            <w:pPr>
              <w:pStyle w:val="Compact"/>
            </w:pPr>
            <w:r>
              <w:t xml:space="preserve">AP – Trade</w:t>
            </w:r>
          </w:p>
        </w:tc>
        <w:tc>
          <w:tcPr/>
          <w:p>
            <w:pPr>
              <w:pStyle w:val="Compact"/>
            </w:pPr>
            <w:r>
              <w:t xml:space="preserve">$38,000,000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200200</w:t>
            </w:r>
          </w:p>
        </w:tc>
        <w:tc>
          <w:tcPr/>
          <w:p>
            <w:pPr>
              <w:pStyle w:val="Compact"/>
            </w:pPr>
            <w:r>
              <w:t xml:space="preserve">AP – Accrued</w:t>
            </w:r>
          </w:p>
        </w:tc>
        <w:tc>
          <w:tcPr/>
          <w:p>
            <w:pPr>
              <w:pStyle w:val="Compact"/>
            </w:pPr>
            <w:r>
              <w:t xml:space="preserve">$15,000,000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210100</w:t>
            </w:r>
          </w:p>
        </w:tc>
        <w:tc>
          <w:tcPr/>
          <w:p>
            <w:pPr>
              <w:pStyle w:val="Compact"/>
            </w:pPr>
            <w:r>
              <w:t xml:space="preserve">Accrued Compensation</w:t>
            </w:r>
          </w:p>
        </w:tc>
        <w:tc>
          <w:tcPr/>
          <w:p>
            <w:pPr>
              <w:pStyle w:val="Compact"/>
            </w:pPr>
            <w:r>
              <w:t xml:space="preserve">$22,000,000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210200</w:t>
            </w:r>
          </w:p>
        </w:tc>
        <w:tc>
          <w:tcPr/>
          <w:p>
            <w:pPr>
              <w:pStyle w:val="Compact"/>
            </w:pPr>
            <w:r>
              <w:t xml:space="preserve">Accrued Content</w:t>
            </w:r>
          </w:p>
        </w:tc>
        <w:tc>
          <w:tcPr/>
          <w:p>
            <w:pPr>
              <w:pStyle w:val="Compact"/>
            </w:pPr>
            <w:r>
              <w:t xml:space="preserve">$85,000,000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210300</w:t>
            </w:r>
          </w:p>
        </w:tc>
        <w:tc>
          <w:tcPr/>
          <w:p>
            <w:pPr>
              <w:pStyle w:val="Compact"/>
            </w:pPr>
            <w:r>
              <w:t xml:space="preserve">Accrued Legal</w:t>
            </w:r>
          </w:p>
        </w:tc>
        <w:tc>
          <w:tcPr/>
          <w:p>
            <w:pPr>
              <w:pStyle w:val="Compact"/>
            </w:pPr>
            <w:r>
              <w:t xml:space="preserve">$4,500,000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210400</w:t>
            </w:r>
          </w:p>
        </w:tc>
        <w:tc>
          <w:tcPr/>
          <w:p>
            <w:pPr>
              <w:pStyle w:val="Compact"/>
            </w:pPr>
            <w:r>
              <w:t xml:space="preserve">Accrued Marketing</w:t>
            </w:r>
          </w:p>
        </w:tc>
        <w:tc>
          <w:tcPr/>
          <w:p>
            <w:pPr>
              <w:pStyle w:val="Compact"/>
            </w:pPr>
            <w:r>
              <w:t xml:space="preserve">$18,000,000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210500</w:t>
            </w:r>
          </w:p>
        </w:tc>
        <w:tc>
          <w:tcPr/>
          <w:p>
            <w:pPr>
              <w:pStyle w:val="Compact"/>
            </w:pPr>
            <w:r>
              <w:t xml:space="preserve">Other Accruals</w:t>
            </w:r>
          </w:p>
        </w:tc>
        <w:tc>
          <w:tcPr/>
          <w:p>
            <w:pPr>
              <w:pStyle w:val="Compact"/>
            </w:pPr>
            <w:r>
              <w:t xml:space="preserve">$6,800,000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220100</w:t>
            </w:r>
          </w:p>
        </w:tc>
        <w:tc>
          <w:tcPr/>
          <w:p>
            <w:pPr>
              <w:pStyle w:val="Compact"/>
            </w:pPr>
            <w:r>
              <w:t xml:space="preserve">Deferred Revenue – Subscription</w:t>
            </w:r>
          </w:p>
        </w:tc>
        <w:tc>
          <w:tcPr/>
          <w:p>
            <w:pPr>
              <w:pStyle w:val="Compact"/>
            </w:pPr>
            <w:r>
              <w:t xml:space="preserve">$95,000,000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220200</w:t>
            </w:r>
          </w:p>
        </w:tc>
        <w:tc>
          <w:tcPr/>
          <w:p>
            <w:pPr>
              <w:pStyle w:val="Compact"/>
            </w:pPr>
            <w:r>
              <w:t xml:space="preserve">Deferred Revenue – Advertising</w:t>
            </w:r>
          </w:p>
        </w:tc>
        <w:tc>
          <w:tcPr/>
          <w:p>
            <w:pPr>
              <w:pStyle w:val="Compact"/>
            </w:pPr>
            <w:r>
              <w:t xml:space="preserve">$8,000,000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230100 / 230200</w:t>
            </w:r>
          </w:p>
        </w:tc>
        <w:tc>
          <w:tcPr/>
          <w:p>
            <w:pPr>
              <w:pStyle w:val="Compact"/>
            </w:pPr>
            <w:r>
              <w:t xml:space="preserve">Intercompany (US)</w:t>
            </w:r>
          </w:p>
        </w:tc>
        <w:tc>
          <w:tcPr/>
          <w:p>
            <w:pPr>
              <w:pStyle w:val="Compact"/>
            </w:pPr>
            <w:r>
              <w:t xml:space="preserve">$12,000,000 / $8,000,000</w:t>
            </w:r>
          </w:p>
        </w:tc>
        <w:tc>
          <w:tcPr/>
          <w:p>
            <w:pPr>
              <w:pStyle w:val="Compact"/>
            </w:pPr>
            <w:r>
              <w:t xml:space="preserve">Exception – Open</w:t>
            </w:r>
          </w:p>
        </w:tc>
        <w:tc>
          <w:tcPr/>
          <w:p>
            <w:pPr>
              <w:pStyle w:val="Compact"/>
            </w:pPr>
            <w:r>
              <w:t xml:space="preserve">1</w:t>
            </w:r>
          </w:p>
        </w:tc>
        <w:tc>
          <w:tcPr/>
          <w:p>
            <w:pPr>
              <w:pStyle w:val="Compact"/>
            </w:pPr>
            <w:r>
              <w:t xml:space="preserve">$320,000</w:t>
            </w:r>
          </w:p>
        </w:tc>
        <w:tc>
          <w:tcPr/>
          <w:p>
            <w:pPr>
              <w:pStyle w:val="Compact"/>
            </w:pPr>
            <w:r>
              <w:t xml:space="preserve">Pending</w:t>
            </w:r>
          </w:p>
        </w:tc>
      </w:tr>
      <w:tr>
        <w:tc>
          <w:tcPr/>
          <w:p>
            <w:pPr>
              <w:pStyle w:val="Compact"/>
            </w:pPr>
            <w:r>
              <w:t xml:space="preserve">300100</w:t>
            </w:r>
          </w:p>
        </w:tc>
        <w:tc>
          <w:tcPr/>
          <w:p>
            <w:pPr>
              <w:pStyle w:val="Compact"/>
            </w:pPr>
            <w:r>
              <w:t xml:space="preserve">Long-Term Debt</w:t>
            </w:r>
          </w:p>
        </w:tc>
        <w:tc>
          <w:tcPr/>
          <w:p>
            <w:pPr>
              <w:pStyle w:val="Compact"/>
            </w:pPr>
            <w:r>
              <w:t xml:space="preserve">$350,000,000</w:t>
            </w:r>
          </w:p>
        </w:tc>
        <w:tc>
          <w:tcPr/>
          <w:p>
            <w:pPr>
              <w:pStyle w:val="Compact"/>
            </w:pPr>
            <w:r>
              <w:t xml:space="preserve">Clean</w:t>
            </w:r>
          </w:p>
        </w:tc>
        <w:tc>
          <w:tcPr/>
          <w:p>
            <w:pPr>
              <w:pStyle w:val="Compact"/>
            </w:pPr>
            <w:r>
              <w:t xml:space="preserve">—</w:t>
            </w:r>
          </w:p>
        </w:tc>
        <w:tc>
          <w:tcPr/>
          <w:p>
            <w:pPr>
              <w:pStyle w:val="Compact"/>
            </w:pPr>
            <w:r>
              <w:t xml:space="preserve">—</w:t>
            </w:r>
          </w:p>
        </w:tc>
        <w:tc>
          <w:tcPr/>
          <w:p>
            <w:pPr>
              <w:pStyle w:val="Compact"/>
            </w:pPr>
            <w:r>
              <w:t xml:space="preserve">Pending</w:t>
            </w:r>
          </w:p>
        </w:tc>
      </w:tr>
    </w:tbl>
    <w:p>
      <w:r>
        <w:pict>
          <v:rect style="width:0;height:1.5pt" o:hralign="center" o:hrstd="t" o:hr="t"/>
        </w:pict>
      </w:r>
    </w:p>
    <w:bookmarkEnd w:id="10"/>
    <w:bookmarkStart w:id="11" w:name="open-items-requiring-cfo-sign-off"/>
    <w:p>
      <w:pPr>
        <w:pStyle w:val="Heading2"/>
      </w:pPr>
      <w:r>
        <w:t xml:space="preserve">Open items requiring CFO sign-off</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Account</w:t>
            </w:r>
          </w:p>
        </w:tc>
        <w:tc>
          <w:tcPr/>
          <w:p>
            <w:pPr>
              <w:pStyle w:val="Compact"/>
            </w:pPr>
            <w:r>
              <w:t xml:space="preserve">Description</w:t>
            </w:r>
          </w:p>
        </w:tc>
        <w:tc>
          <w:tcPr/>
          <w:p>
            <w:pPr>
              <w:pStyle w:val="Compact"/>
            </w:pPr>
            <w:r>
              <w:t xml:space="preserve">Amount</w:t>
            </w:r>
          </w:p>
        </w:tc>
        <w:tc>
          <w:tcPr/>
          <w:p>
            <w:pPr>
              <w:pStyle w:val="Compact"/>
            </w:pPr>
            <w:r>
              <w:t xml:space="preserve">Age</w:t>
            </w:r>
          </w:p>
        </w:tc>
        <w:tc>
          <w:tcPr/>
          <w:p>
            <w:pPr>
              <w:pStyle w:val="Compact"/>
            </w:pPr>
            <w:r>
              <w:t xml:space="preserve">Disposition</w:t>
            </w:r>
          </w:p>
        </w:tc>
        <w:tc>
          <w:tcPr/>
          <w:p>
            <w:pPr>
              <w:pStyle w:val="Compact"/>
            </w:pPr>
            <w:r>
              <w:t xml:space="preserve">Owner</w:t>
            </w:r>
          </w:p>
        </w:tc>
        <w:tc>
          <w:tcPr/>
          <w:p>
            <w:pPr>
              <w:pStyle w:val="Compact"/>
            </w:pPr>
            <w:r>
              <w:t xml:space="preserve">Due</w:t>
            </w:r>
          </w:p>
        </w:tc>
      </w:tr>
      <w:tr>
        <w:tc>
          <w:tcPr/>
          <w:p>
            <w:pPr>
              <w:pStyle w:val="Compact"/>
            </w:pPr>
            <w:r>
              <w:t xml:space="preserve">1</w:t>
            </w:r>
          </w:p>
        </w:tc>
        <w:tc>
          <w:tcPr/>
          <w:p>
            <w:pPr>
              <w:pStyle w:val="Compact"/>
            </w:pPr>
            <w:r>
              <w:t xml:space="preserve">120100 AR Trade</w:t>
            </w:r>
          </w:p>
        </w:tc>
        <w:tc>
          <w:tcPr/>
          <w:p>
            <w:pPr>
              <w:pStyle w:val="Compact"/>
            </w:pPr>
            <w:r>
              <w:t xml:space="preserve">Customer X balance in dispute</w:t>
            </w:r>
          </w:p>
        </w:tc>
        <w:tc>
          <w:tcPr/>
          <w:p>
            <w:pPr>
              <w:pStyle w:val="Compact"/>
            </w:pPr>
            <w:r>
              <w:t xml:space="preserve">$145,000</w:t>
            </w:r>
          </w:p>
        </w:tc>
        <w:tc>
          <w:tcPr/>
          <w:p>
            <w:pPr>
              <w:pStyle w:val="Compact"/>
            </w:pPr>
            <w:r>
              <w:t xml:space="preserve">47d</w:t>
            </w:r>
          </w:p>
        </w:tc>
        <w:tc>
          <w:tcPr/>
          <w:p>
            <w:pPr>
              <w:pStyle w:val="Compact"/>
            </w:pPr>
            <w:r>
              <w:t xml:space="preserve">Deferred – in dispute</w:t>
            </w:r>
          </w:p>
        </w:tc>
        <w:tc>
          <w:tcPr/>
          <w:p>
            <w:pPr>
              <w:pStyle w:val="Compact"/>
            </w:pPr>
            <w:r>
              <w:t xml:space="preserve">AR Manager</w:t>
            </w:r>
          </w:p>
        </w:tc>
        <w:tc>
          <w:tcPr/>
          <w:p>
            <w:pPr>
              <w:pStyle w:val="Compact"/>
            </w:pPr>
            <w:r>
              <w:t xml:space="preserve">2026-12-31</w:t>
            </w:r>
          </w:p>
        </w:tc>
      </w:tr>
      <w:tr>
        <w:tc>
          <w:tcPr/>
          <w:p>
            <w:pPr>
              <w:pStyle w:val="Compact"/>
            </w:pPr>
            <w:r>
              <w:t xml:space="preserve">2</w:t>
            </w:r>
          </w:p>
        </w:tc>
        <w:tc>
          <w:tcPr/>
          <w:p>
            <w:pPr>
              <w:pStyle w:val="Compact"/>
            </w:pPr>
            <w:r>
              <w:t xml:space="preserve">230100 IC Receivable</w:t>
            </w:r>
          </w:p>
        </w:tc>
        <w:tc>
          <w:tcPr/>
          <w:p>
            <w:pPr>
              <w:pStyle w:val="Compact"/>
            </w:pPr>
            <w:r>
              <w:t xml:space="preserve">LuminaUS vs LuminaEMEA mismatch — timing</w:t>
            </w:r>
          </w:p>
        </w:tc>
        <w:tc>
          <w:tcPr/>
          <w:p>
            <w:pPr>
              <w:pStyle w:val="Compact"/>
            </w:pPr>
            <w:r>
              <w:t xml:space="preserve">$320,000</w:t>
            </w:r>
          </w:p>
        </w:tc>
        <w:tc>
          <w:tcPr/>
          <w:p>
            <w:pPr>
              <w:pStyle w:val="Compact"/>
            </w:pPr>
            <w:r>
              <w:t xml:space="preserve">3d</w:t>
            </w:r>
          </w:p>
        </w:tc>
        <w:tc>
          <w:tcPr/>
          <w:p>
            <w:pPr>
              <w:pStyle w:val="Compact"/>
            </w:pPr>
            <w:r>
              <w:t xml:space="preserve">Deferred – timing</w:t>
            </w:r>
          </w:p>
        </w:tc>
        <w:tc>
          <w:tcPr/>
          <w:p>
            <w:pPr>
              <w:pStyle w:val="Compact"/>
            </w:pPr>
            <w:r>
              <w:t xml:space="preserve">EMEA Controller</w:t>
            </w:r>
          </w:p>
        </w:tc>
        <w:tc>
          <w:tcPr/>
          <w:p>
            <w:pPr>
              <w:pStyle w:val="Compact"/>
            </w:pPr>
            <w:r>
              <w:t xml:space="preserve">2026-12-06</w:t>
            </w:r>
          </w:p>
        </w:tc>
      </w:tr>
    </w:tbl>
    <w:p>
      <w:pPr>
        <w:pStyle w:val="BlockText"/>
      </w:pPr>
      <w:r>
        <w:t xml:space="preserve">Item 2 is a timing difference only; LuminaEMEA Controller has confirmed the $320,000 payable will post December 6. No financial statement impact on consolidation.</w:t>
      </w:r>
    </w:p>
    <w:p>
      <w:r>
        <w:pict>
          <v:rect style="width:0;height:1.5pt" o:hralign="center" o:hrstd="t" o:hr="t"/>
        </w:pict>
      </w:r>
    </w:p>
    <w:bookmarkEnd w:id="11"/>
    <w:bookmarkStart w:id="12" w:name="X6b7b4978ab0099626f1b2bfee8930e92de88a73"/>
    <w:p>
      <w:pPr>
        <w:pStyle w:val="Heading2"/>
      </w:pPr>
      <w:r>
        <w:t xml:space="preserve">Proposed journal entries pending approval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JE</w:t>
            </w:r>
          </w:p>
        </w:tc>
        <w:tc>
          <w:tcPr/>
          <w:p>
            <w:pPr>
              <w:pStyle w:val="Compact"/>
            </w:pPr>
            <w:r>
              <w:t xml:space="preserve">Account</w:t>
            </w:r>
          </w:p>
        </w:tc>
        <w:tc>
          <w:tcPr/>
          <w:p>
            <w:pPr>
              <w:pStyle w:val="Compact"/>
            </w:pPr>
            <w:r>
              <w:t xml:space="preserve">Description</w:t>
            </w:r>
          </w:p>
        </w:tc>
        <w:tc>
          <w:tcPr/>
          <w:p>
            <w:pPr>
              <w:pStyle w:val="Compact"/>
            </w:pPr>
            <w:r>
              <w:t xml:space="preserve">Amount</w:t>
            </w:r>
          </w:p>
        </w:tc>
        <w:tc>
          <w:tcPr/>
          <w:p>
            <w:pPr>
              <w:pStyle w:val="Compact"/>
            </w:pPr>
            <w:r>
              <w:t xml:space="preserve">Approval tier</w:t>
            </w:r>
          </w:p>
        </w:tc>
        <w:tc>
          <w:tcPr/>
          <w:p>
            <w:pPr>
              <w:pStyle w:val="Compact"/>
            </w:pPr>
            <w:r>
              <w:t xml:space="preserve">Approver</w:t>
            </w:r>
          </w:p>
        </w:tc>
      </w:tr>
      <w:tr>
        <w:tc>
          <w:tcPr/>
          <w:p>
            <w:pPr>
              <w:pStyle w:val="Compact"/>
            </w:pPr>
            <w:r>
              <w:t xml:space="preserve">JE-001</w:t>
            </w:r>
          </w:p>
        </w:tc>
        <w:tc>
          <w:tcPr/>
          <w:p>
            <w:pPr>
              <w:pStyle w:val="Compact"/>
            </w:pPr>
            <w:r>
              <w:t xml:space="preserve">100100</w:t>
            </w:r>
          </w:p>
        </w:tc>
        <w:tc>
          <w:tcPr/>
          <w:p>
            <w:pPr>
              <w:pStyle w:val="Compact"/>
            </w:pPr>
            <w:r>
              <w:t xml:space="preserve">Bank service charge + interest credit (net)</w:t>
            </w:r>
          </w:p>
        </w:tc>
        <w:tc>
          <w:tcPr/>
          <w:p>
            <w:pPr>
              <w:pStyle w:val="Compact"/>
            </w:pPr>
            <w:r>
              <w:t xml:space="preserve">$1,650</w:t>
            </w:r>
          </w:p>
        </w:tc>
        <w:tc>
          <w:tcPr/>
          <w:p>
            <w:pPr>
              <w:pStyle w:val="Compact"/>
            </w:pPr>
            <w:r>
              <w:t xml:space="preserve">&lt; $10K — notation only</w:t>
            </w:r>
          </w:p>
        </w:tc>
        <w:tc>
          <w:tcPr/>
          <w:p>
            <w:pPr>
              <w:pStyle w:val="Compact"/>
            </w:pPr>
            <w:r>
              <w:t xml:space="preserve">Controller notation</w:t>
            </w:r>
          </w:p>
        </w:tc>
      </w:tr>
      <w:tr>
        <w:tc>
          <w:tcPr/>
          <w:p>
            <w:pPr>
              <w:pStyle w:val="Compact"/>
            </w:pPr>
            <w:r>
              <w:t xml:space="preserve">JE-002</w:t>
            </w:r>
          </w:p>
        </w:tc>
        <w:tc>
          <w:tcPr/>
          <w:p>
            <w:pPr>
              <w:pStyle w:val="Compact"/>
            </w:pPr>
            <w:r>
              <w:t xml:space="preserve">100200</w:t>
            </w:r>
          </w:p>
        </w:tc>
        <w:tc>
          <w:tcPr/>
          <w:p>
            <w:pPr>
              <w:pStyle w:val="Compact"/>
            </w:pPr>
            <w:r>
              <w:t xml:space="preserve">Money market dividend income — Nov 1–28</w:t>
            </w:r>
          </w:p>
        </w:tc>
        <w:tc>
          <w:tcPr/>
          <w:p>
            <w:pPr>
              <w:pStyle w:val="Compact"/>
            </w:pPr>
            <w:r>
              <w:t xml:space="preserve">$100,000</w:t>
            </w:r>
          </w:p>
        </w:tc>
        <w:tc>
          <w:tcPr/>
          <w:p>
            <w:pPr>
              <w:pStyle w:val="Compact"/>
            </w:pPr>
            <w:r>
              <w:t xml:space="preserve">&lt; $10K — notation only</w:t>
            </w:r>
          </w:p>
        </w:tc>
        <w:tc>
          <w:tcPr/>
          <w:p>
            <w:pPr>
              <w:pStyle w:val="Compact"/>
            </w:pPr>
            <w:r>
              <w:t xml:space="preserve">Controller notation</w:t>
            </w:r>
          </w:p>
        </w:tc>
      </w:tr>
    </w:tbl>
    <w:p>
      <w:pPr>
        <w:pStyle w:val="BodyText"/>
      </w:pPr>
      <w:r>
        <w:t xml:space="preserve">Both JEs are below the $10K no-approval threshold and may be posted with Controller notation per</w:t>
      </w:r>
      <w:r>
        <w:t xml:space="preserve"> </w:t>
      </w:r>
      <w:r>
        <w:rPr>
          <w:rStyle w:val="VerbatimChar"/>
        </w:rPr>
        <w:t xml:space="preserve">config/thresholds.yaml</w:t>
      </w:r>
      <w:r>
        <w:t xml:space="preserve">.</w:t>
      </w:r>
    </w:p>
    <w:p>
      <w:r>
        <w:pict>
          <v:rect style="width:0;height:1.5pt" o:hralign="center" o:hrstd="t" o:hr="t"/>
        </w:pict>
      </w:r>
    </w:p>
    <w:bookmarkEnd w:id="12"/>
    <w:bookmarkStart w:id="13" w:name="workpaper-index"/>
    <w:p>
      <w:pPr>
        <w:pStyle w:val="Heading2"/>
      </w:pPr>
      <w:r>
        <w:t xml:space="preserve">Workpaper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pPr>
            <w:r>
              <w:t xml:space="preserve">Workpaper</w:t>
            </w:r>
          </w:p>
        </w:tc>
        <w:tc>
          <w:tcPr/>
          <w:p>
            <w:pPr>
              <w:pStyle w:val="Compact"/>
            </w:pPr>
            <w:r>
              <w:t xml:space="preserve">Memo</w:t>
            </w:r>
          </w:p>
        </w:tc>
        <w:tc>
          <w:tcPr/>
          <w:p>
            <w:pPr>
              <w:pStyle w:val="Compact"/>
            </w:pPr>
            <w:r>
              <w:t xml:space="preserve">Status</w:t>
            </w:r>
          </w:p>
        </w:tc>
      </w:tr>
      <w:tr>
        <w:tc>
          <w:tcPr/>
          <w:p>
            <w:pPr>
              <w:pStyle w:val="Compact"/>
            </w:pPr>
            <w:r>
              <w:t xml:space="preserve">100100 / 100200</w:t>
            </w:r>
          </w:p>
        </w:tc>
        <w:tc>
          <w:tcPr/>
          <w:p>
            <w:pPr>
              <w:pStyle w:val="Compact"/>
            </w:pPr>
            <w:r>
              <w:rPr>
                <w:rStyle w:val="VerbatimChar"/>
              </w:rPr>
              <w:t xml:space="preserve">workpapers/2026-11/</w:t>
            </w:r>
          </w:p>
        </w:tc>
        <w:tc>
          <w:tcPr/>
          <w:p>
            <w:pPr>
              <w:pStyle w:val="Compact"/>
            </w:pPr>
            <w:r>
              <w:rPr>
                <w:rStyle w:val="VerbatimChar"/>
              </w:rPr>
              <w:t xml:space="preserve">outputs/2026-11/2026-11_LuminaUS_Cash_Rec_v1_memo.md</w:t>
            </w:r>
          </w:p>
        </w:tc>
        <w:tc>
          <w:tcPr/>
          <w:p>
            <w:pPr>
              <w:pStyle w:val="Compact"/>
            </w:pPr>
            <w:r>
              <w:t xml:space="preserve">Complete</w:t>
            </w:r>
          </w:p>
        </w:tc>
      </w:tr>
      <w:tr>
        <w:tc>
          <w:tcPr/>
          <w:p>
            <w:pPr>
              <w:pStyle w:val="Compact"/>
            </w:pPr>
            <w:r>
              <w:t xml:space="preserve">All other accounts</w:t>
            </w:r>
          </w:p>
        </w:tc>
        <w:tc>
          <w:tcPr/>
          <w:p>
            <w:pPr>
              <w:pStyle w:val="Compact"/>
            </w:pPr>
            <w:r>
              <w:rPr>
                <w:rStyle w:val="VerbatimChar"/>
              </w:rPr>
              <w:t xml:space="preserve">workpapers/2026-11/</w:t>
            </w:r>
          </w:p>
        </w:tc>
        <w:tc>
          <w:tcPr/>
          <w:p>
            <w:pPr>
              <w:pStyle w:val="Compact"/>
            </w:pPr>
            <w:r>
              <w:rPr>
                <w:rStyle w:val="VerbatimChar"/>
              </w:rPr>
              <w:t xml:space="preserve">outputs/2026-11/</w:t>
            </w:r>
          </w:p>
        </w:tc>
        <w:tc>
          <w:tcPr/>
          <w:p>
            <w:pPr>
              <w:pStyle w:val="Compact"/>
            </w:pPr>
            <w:r>
              <w:t xml:space="preserve">Complete</w:t>
            </w:r>
          </w:p>
        </w:tc>
      </w:tr>
    </w:tbl>
    <w:p>
      <w:r>
        <w:pict>
          <v:rect style="width:0;height:1.5pt" o:hralign="center" o:hrstd="t" o:hr="t"/>
        </w:pict>
      </w:r>
    </w:p>
    <w:bookmarkEnd w:id="13"/>
    <w:bookmarkStart w:id="14" w:name="sign-off"/>
    <w:p>
      <w:pPr>
        <w:pStyle w:val="Heading2"/>
      </w:pPr>
      <w:r>
        <w:t xml:space="preserve">Sign-off</w:t>
      </w:r>
    </w:p>
    <w:p>
      <w:pPr>
        <w:pStyle w:val="FirstParagraph"/>
      </w:pPr>
      <w:r>
        <w:t xml:space="preserve">By signing below, the Controller and CFO confirm they have reviewed the reconciliation package, are satisfied that all material exceptions are properly disclosed or resolved, and approve the proposed journal entries listed above.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Controller</w:t>
            </w:r>
          </w:p>
        </w:tc>
        <w:tc>
          <w:tcPr/>
          <w:p>
            <w:pPr>
              <w:pStyle w:val="Compact"/>
            </w:pPr>
          </w:p>
        </w:tc>
        <w:tc>
          <w:tcPr/>
          <w:p>
            <w:pPr>
              <w:pStyle w:val="Compact"/>
            </w:pPr>
          </w:p>
        </w:tc>
        <w:tc>
          <w:tcPr/>
          <w:p>
            <w:pPr>
              <w:pStyle w:val="Compact"/>
            </w:pPr>
          </w:p>
        </w:tc>
      </w:tr>
      <w:tr>
        <w:tc>
          <w:tcPr/>
          <w:p>
            <w:pPr>
              <w:pStyle w:val="Compact"/>
            </w:pPr>
            <w:r>
              <w:t xml:space="preserve">CFO</w:t>
            </w:r>
          </w:p>
        </w:tc>
        <w:tc>
          <w:tcPr/>
          <w:p>
            <w:pPr>
              <w:pStyle w:val="Compact"/>
            </w:pPr>
          </w:p>
        </w:tc>
        <w:tc>
          <w:tcPr/>
          <w:p>
            <w:pPr>
              <w:pStyle w:val="Compact"/>
            </w:pPr>
          </w:p>
        </w:tc>
        <w:tc>
          <w:tcPr/>
          <w:p>
            <w:pPr>
              <w:pStyle w:val="Compact"/>
            </w:pPr>
          </w:p>
        </w:tc>
      </w:tr>
    </w:tbl>
    <w:p>
      <w:r>
        <w:pict>
          <v:rect style="width:0;height:1.5pt" o:hralign="center" o:hrstd="t" o:hr="t"/>
        </w:pict>
      </w:r>
    </w:p>
    <w:bookmarkEnd w:id="14"/>
    <w:bookmarkStart w:id="15" w:name="metadata"/>
    <w:p>
      <w:pPr>
        <w:pStyle w:val="Heading2"/>
      </w:pPr>
      <w:r>
        <w:t xml:space="preserve">Metadata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Agent</w:t>
            </w:r>
          </w:p>
        </w:tc>
        <w:tc>
          <w:tcPr/>
          <w:p>
            <w:pPr>
              <w:pStyle w:val="Compact"/>
            </w:pPr>
            <w:r>
              <w:t xml:space="preserve">Rec Package Agent</w:t>
            </w:r>
          </w:p>
        </w:tc>
      </w:tr>
      <w:tr>
        <w:tc>
          <w:tcPr/>
          <w:p>
            <w:pPr>
              <w:pStyle w:val="Compact"/>
            </w:pPr>
            <w:r>
              <w:t xml:space="preserve">Version</w:t>
            </w:r>
          </w:p>
        </w:tc>
        <w:tc>
          <w:tcPr/>
          <w:p>
            <w:pPr>
              <w:pStyle w:val="Compact"/>
            </w:pPr>
            <w:r>
              <w:t xml:space="preserve">0.1.0</w:t>
            </w:r>
          </w:p>
        </w:tc>
      </w:tr>
      <w:tr>
        <w:tc>
          <w:tcPr/>
          <w:p>
            <w:pPr>
              <w:pStyle w:val="Compact"/>
            </w:pPr>
            <w:r>
              <w:t xml:space="preserve">Run timestamp</w:t>
            </w:r>
          </w:p>
        </w:tc>
        <w:tc>
          <w:tcPr/>
          <w:p>
            <w:pPr>
              <w:pStyle w:val="Compact"/>
            </w:pPr>
            <w:r>
              <w:t xml:space="preserve">2026-12-05T08:00:00Z</w:t>
            </w:r>
          </w:p>
        </w:tc>
      </w:tr>
      <w:tr>
        <w:tc>
          <w:tcPr/>
          <w:p>
            <w:pPr>
              <w:pStyle w:val="Compact"/>
            </w:pPr>
            <w:r>
              <w:t xml:space="preserve">Exception Log</w:t>
            </w:r>
          </w:p>
        </w:tc>
        <w:tc>
          <w:tcPr/>
          <w:p>
            <w:pPr>
              <w:pStyle w:val="Compact"/>
            </w:pPr>
            <w:r>
              <w:rPr>
                <w:rStyle w:val="VerbatimChar"/>
              </w:rPr>
              <w:t xml:space="preserve">outputs/2026-11/2026-11_LuminaUS_Exception_Log.md</w:t>
            </w:r>
          </w:p>
        </w:tc>
      </w:tr>
      <w:tr>
        <w:tc>
          <w:tcPr/>
          <w:p>
            <w:pPr>
              <w:pStyle w:val="Compact"/>
            </w:pPr>
            <w:r>
              <w:t xml:space="preserve">Source — Trial Balance</w:t>
            </w:r>
          </w:p>
        </w:tc>
        <w:tc>
          <w:tcPr/>
          <w:p>
            <w:pPr>
              <w:pStyle w:val="Compact"/>
            </w:pPr>
            <w:r>
              <w:rPr>
                <w:rStyle w:val="VerbatimChar"/>
              </w:rPr>
              <w:t xml:space="preserve">data/synthetic/2026-11_LuminaUS_TrialBalance.csv</w:t>
            </w:r>
          </w:p>
        </w:tc>
      </w:tr>
    </w:tbl>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2026-05-31T06:24:55Z</dcterms:created>
  <dcterms:modified xsi:type="dcterms:W3CDTF">2026-05-31T06:24:55Z</dcterms:modified>
</cp:coreProperties>
</file>

<file path=docProps/custom.xml><?xml version="1.0" encoding="utf-8"?>
<Properties xmlns="http://schemas.openxmlformats.org/officeDocument/2006/custom-properties" xmlns:vt="http://schemas.openxmlformats.org/officeDocument/2006/docPropsVTypes"/>
</file>