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pStyle w:val="Heading1"/>
      </w:pPr>
      <w:r>
        <w:rPr>
          <w:rFonts w:ascii="Arial" w:cs="Arial" w:eastAsia="Arial" w:hAnsi="Arial"/>
          <w:b/>
          <w:bCs/>
          <w:color w:val="1F4E79"/>
          <w:sz w:val="40"/>
          <w:szCs w:val="40"/>
        </w:rPr>
        <w:t xml:space="preserve">Executive Close Memo</w:t>
      </w:r>
    </w:p>
    <w:p>
      <w:pPr>
        <w:spacing w:after="80" w:before="80"/>
      </w:pPr>
      <w:r>
        <w:rPr>
          <w:rFonts w:ascii="Arial" w:cs="Arial" w:eastAsia="Arial" w:hAnsi="Arial"/>
          <w:b w:val="false"/>
          <w:bCs w:val="false"/>
          <w:color w:val="595959"/>
          <w:sz w:val="22"/>
          <w:szCs w:val="22"/>
        </w:rPr>
        <w:t xml:space="preserve">Lumina Streaming Co. · LuminaUS · November 2026</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Period</w:t>
            </w:r>
          </w:p>
        </w:tc>
        <w:tc>
          <w:tcPr>
            <w:tcW w:type="dxa" w:w="74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95959"/>
                <w:sz w:val="18"/>
                <w:szCs w:val="18"/>
              </w:rPr>
              <w:t xml:space="preserve">November 2026</w:t>
            </w:r>
          </w:p>
        </w:tc>
      </w:tr>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Entity</w:t>
            </w:r>
          </w:p>
        </w:tc>
        <w:tc>
          <w:tcPr>
            <w:tcW w:type="dxa" w:w="74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95959"/>
                <w:sz w:val="18"/>
                <w:szCs w:val="18"/>
              </w:rPr>
              <w:t xml:space="preserve">LuminaUS</w:t>
            </w:r>
          </w:p>
        </w:tc>
      </w:tr>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Close day</w:t>
            </w:r>
          </w:p>
        </w:tc>
        <w:tc>
          <w:tcPr>
            <w:tcW w:type="dxa" w:w="74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95959"/>
                <w:sz w:val="18"/>
                <w:szCs w:val="18"/>
              </w:rPr>
              <w:t xml:space="preserve">BD5 (December 5, 2026)</w:t>
            </w:r>
          </w:p>
        </w:tc>
      </w:tr>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Status</w:t>
            </w:r>
          </w:p>
        </w:tc>
        <w:tc>
          <w:tcPr>
            <w:tcW w:type="dxa" w:w="74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95959"/>
                <w:sz w:val="18"/>
                <w:szCs w:val="18"/>
              </w:rPr>
              <w:t xml:space="preserve">DRAFT — pending CFO sign-off</w:t>
            </w:r>
          </w:p>
        </w:tc>
      </w:tr>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Prepared</w:t>
            </w:r>
          </w:p>
        </w:tc>
        <w:tc>
          <w:tcPr>
            <w:tcW w:type="dxa" w:w="74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95959"/>
                <w:sz w:val="18"/>
                <w:szCs w:val="18"/>
              </w:rPr>
              <w:t xml:space="preserve">Close Reporting Agent v0.1.0</w:t>
            </w:r>
          </w:p>
        </w:tc>
      </w:tr>
      <w:tr>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Sources</w:t>
            </w:r>
          </w:p>
        </w:tc>
        <w:tc>
          <w:tcPr>
            <w:tcW w:type="dxa" w:w="748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595959"/>
                <w:sz w:val="18"/>
                <w:szCs w:val="18"/>
              </w:rPr>
              <w:t xml:space="preserve">Reconciliation Memo 2026-11_LuminaUS_Recon_v1_memo.md · TrialBalance (lumina_close_dataset.xlsx)</w:t>
            </w:r>
          </w:p>
        </w:tc>
      </w:tr>
    </w:tbl>
    <w:p>
      <w:pPr>
        <w:spacing w:after="200" w:before="0"/>
      </w:pPr>
      <w:r>
        <w:t xml:space="preserve"/>
      </w:r>
    </w:p>
    <w:p>
      <w:pPr>
        <w:pBdr>
          <w:bottom w:val="single" w:color="2E75B6" w:sz="6" w:space="1"/>
        </w:pBdr>
        <w:spacing w:after="100" w:before="280"/>
      </w:pPr>
      <w:r>
        <w:rPr>
          <w:rFonts w:ascii="Arial" w:cs="Arial" w:eastAsia="Arial" w:hAnsi="Arial"/>
          <w:b/>
          <w:bCs/>
          <w:color w:val="1F4E79"/>
          <w:sz w:val="26"/>
          <w:szCs w:val="26"/>
        </w:rPr>
        <w:t xml:space="preserve">1. Period Summary</w:t>
      </w:r>
    </w:p>
    <w:p>
      <w:pPr>
        <w:spacing w:after="60" w:before="0"/>
      </w:pPr>
      <w:r>
        <w:t xml:space="preserve"/>
      </w:r>
    </w:p>
    <w:p>
      <w:pPr>
        <w:spacing w:after="80" w:before="80"/>
      </w:pPr>
      <w:r>
        <w:rPr>
          <w:rFonts w:ascii="Arial" w:cs="Arial" w:eastAsia="Arial" w:hAnsi="Arial"/>
          <w:color w:val="000000"/>
          <w:sz w:val="20"/>
          <w:szCs w:val="20"/>
        </w:rPr>
        <w:t xml:space="preserve">November revenue of </w:t>
      </w:r>
      <w:r>
        <w:rPr>
          <w:rFonts w:ascii="Arial" w:cs="Arial" w:eastAsia="Arial" w:hAnsi="Arial"/>
          <w:b/>
          <w:bCs/>
          <w:color w:val="000000"/>
          <w:sz w:val="20"/>
          <w:szCs w:val="20"/>
        </w:rPr>
        <w:t xml:space="preserve">$152.0M</w:t>
      </w:r>
      <w:r>
        <w:rPr>
          <w:rFonts w:ascii="Arial" w:cs="Arial" w:eastAsia="Arial" w:hAnsi="Arial"/>
          <w:color w:val="000000"/>
          <w:sz w:val="20"/>
          <w:szCs w:val="20"/>
        </w:rPr>
        <w:t xml:space="preserve"> was </w:t>
      </w:r>
      <w:r>
        <w:rPr>
          <w:rFonts w:ascii="Arial" w:cs="Arial" w:eastAsia="Arial" w:hAnsi="Arial"/>
          <w:b/>
          <w:bCs/>
          <w:color w:val="375623"/>
          <w:sz w:val="20"/>
          <w:szCs w:val="20"/>
        </w:rPr>
        <w:t xml:space="preserve">$4.0M (2.7%) favorable to budget</w:t>
      </w:r>
      <w:r>
        <w:rPr>
          <w:rFonts w:ascii="Arial" w:cs="Arial" w:eastAsia="Arial" w:hAnsi="Arial"/>
          <w:color w:val="000000"/>
          <w:sz w:val="20"/>
          <w:szCs w:val="20"/>
        </w:rPr>
        <w:t xml:space="preserve"> and $4.8M ahead of October, driven by stronger-than-expected advertising performance across the US segment and steady subscription growth globally. Gross margin of </w:t>
      </w:r>
      <w:r>
        <w:rPr>
          <w:rFonts w:ascii="Arial" w:cs="Arial" w:eastAsia="Arial" w:hAnsi="Arial"/>
          <w:b/>
          <w:bCs/>
          <w:color w:val="000000"/>
          <w:sz w:val="20"/>
          <w:szCs w:val="20"/>
        </w:rPr>
        <w:t xml:space="preserve">70.0%</w:t>
      </w:r>
      <w:r>
        <w:rPr>
          <w:rFonts w:ascii="Arial" w:cs="Arial" w:eastAsia="Arial" w:hAnsi="Arial"/>
          <w:color w:val="000000"/>
          <w:sz w:val="20"/>
          <w:szCs w:val="20"/>
        </w:rPr>
        <w:t xml:space="preserve"> was in line with budget (70.1%), reflecting disciplined content cost management despite elevated CDN traffic from the November content launch. Operating income of </w:t>
      </w:r>
      <w:r>
        <w:rPr>
          <w:rFonts w:ascii="Arial" w:cs="Arial" w:eastAsia="Arial" w:hAnsi="Arial"/>
          <w:b/>
          <w:bCs/>
          <w:color w:val="000000"/>
          <w:sz w:val="20"/>
          <w:szCs w:val="20"/>
        </w:rPr>
        <w:t xml:space="preserve">$46.0M</w:t>
      </w:r>
      <w:r>
        <w:rPr>
          <w:rFonts w:ascii="Arial" w:cs="Arial" w:eastAsia="Arial" w:hAnsi="Arial"/>
          <w:color w:val="000000"/>
          <w:sz w:val="20"/>
          <w:szCs w:val="20"/>
        </w:rPr>
        <w:t xml:space="preserve"> was </w:t>
      </w:r>
      <w:r>
        <w:rPr>
          <w:rFonts w:ascii="Arial" w:cs="Arial" w:eastAsia="Arial" w:hAnsi="Arial"/>
          <w:b/>
          <w:bCs/>
          <w:color w:val="375623"/>
          <w:sz w:val="20"/>
          <w:szCs w:val="20"/>
        </w:rPr>
        <w:t xml:space="preserve">$2.0M (4.5%) favorable to budget</w:t>
      </w:r>
      <w:r>
        <w:rPr>
          <w:rFonts w:ascii="Arial" w:cs="Arial" w:eastAsia="Arial" w:hAnsi="Arial"/>
          <w:color w:val="000000"/>
          <w:sz w:val="20"/>
          <w:szCs w:val="20"/>
        </w:rPr>
        <w:t xml:space="preserve">, partially offset by a performance marketing overage in the US segment that was approved by the CMO as a Q4 campaign pull-forward.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00"/>
        <w:gridCol w:w="1500"/>
        <w:gridCol w:w="1260"/>
        <w:gridCol w:w="1260"/>
        <w:gridCol w:w="150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KPI</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Nov-26 Actual</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Nov-26 Budget</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Variance $</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Var %</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19"/>
                <w:szCs w:val="19"/>
              </w:rPr>
              <w:t xml:space="preserve">Oct-26 Actual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Total Revenue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$152.0M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$148.0M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75623"/>
                <w:sz w:val="19"/>
                <w:szCs w:val="19"/>
              </w:rPr>
              <w:t xml:space="preserve">+$4.0M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75623"/>
                <w:sz w:val="19"/>
                <w:szCs w:val="19"/>
              </w:rPr>
              <w:t xml:space="preserve">+2.7%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$147.2M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  Subscription Revenue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$106.0M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$104.0M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75623"/>
                <w:sz w:val="19"/>
                <w:szCs w:val="19"/>
              </w:rPr>
              <w:t xml:space="preserve">+$2.0M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75623"/>
                <w:sz w:val="19"/>
                <w:szCs w:val="19"/>
              </w:rPr>
              <w:t xml:space="preserve">+1.9%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$104.4M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  Advertising Revenue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$44.0M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$43.0M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75623"/>
                <w:sz w:val="19"/>
                <w:szCs w:val="19"/>
              </w:rPr>
              <w:t xml:space="preserve">+$1.0M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75623"/>
                <w:sz w:val="19"/>
                <w:szCs w:val="19"/>
              </w:rPr>
              <w:t xml:space="preserve">+2.3%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$38.6M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Gross Profit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$106.4M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$103.7M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75623"/>
                <w:sz w:val="19"/>
                <w:szCs w:val="19"/>
              </w:rPr>
              <w:t xml:space="preserve">+$2.7M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75623"/>
                <w:sz w:val="19"/>
                <w:szCs w:val="19"/>
              </w:rPr>
              <w:t xml:space="preserve">+2.6%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$102.6M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Gross Margin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70.0%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70.1%</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(0.1)pp</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69.7%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Operating Income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$46.0M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$44.0M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75623"/>
                <w:sz w:val="19"/>
                <w:szCs w:val="19"/>
              </w:rPr>
              <w:t xml:space="preserve">+$2.0M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75623"/>
                <w:sz w:val="19"/>
                <w:szCs w:val="19"/>
              </w:rPr>
              <w:t xml:space="preserve">+4.5%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$42.2M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Operating Margin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30.3%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29.7%</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75623"/>
                <w:sz w:val="19"/>
                <w:szCs w:val="19"/>
              </w:rPr>
              <w:t xml:space="preserve">+0.6pp</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28.7%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9"/>
                <w:szCs w:val="19"/>
              </w:rPr>
              <w:t xml:space="preserve">Ending Cash &amp; MM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$427.5M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$425.0M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75623"/>
                <w:sz w:val="19"/>
                <w:szCs w:val="19"/>
              </w:rPr>
              <w:t xml:space="preserve">+$2.5M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375623"/>
                <w:sz w:val="19"/>
                <w:szCs w:val="19"/>
              </w:rPr>
              <w:t xml:space="preserve">+0.6%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$418.9M</w:t>
            </w:r>
          </w:p>
        </w:tc>
      </w:tr>
    </w:tbl>
    <w:p>
      <w:pPr>
        <w:spacing w:after="200" w:before="0"/>
      </w:pPr>
      <w:r>
        <w:t xml:space="preserve"/>
      </w:r>
    </w:p>
    <w:p>
      <w:pPr>
        <w:pBdr>
          <w:bottom w:val="single" w:color="2E75B6" w:sz="6" w:space="1"/>
        </w:pBdr>
        <w:spacing w:after="100" w:before="280"/>
      </w:pPr>
      <w:r>
        <w:rPr>
          <w:rFonts w:ascii="Arial" w:cs="Arial" w:eastAsia="Arial" w:hAnsi="Arial"/>
          <w:b/>
          <w:bCs/>
          <w:color w:val="1F4E79"/>
          <w:sz w:val="26"/>
          <w:szCs w:val="26"/>
        </w:rPr>
        <w:t xml:space="preserve">2. Key Variances</w:t>
      </w:r>
    </w:p>
    <w:p>
      <w:pPr>
        <w:spacing w:after="60" w:before="0"/>
      </w:pPr>
      <w:r>
        <w:t xml:space="preserve"/>
      </w:r>
    </w:p>
    <w:p>
      <w:pPr>
        <w:spacing w:after="80" w:before="80"/>
      </w:pPr>
      <w:r>
        <w:rPr>
          <w:rFonts w:ascii="Arial" w:cs="Arial" w:eastAsia="Arial" w:hAnsi="Arial"/>
          <w:color w:val="000000"/>
          <w:sz w:val="20"/>
          <w:szCs w:val="20"/>
        </w:rPr>
        <w:t xml:space="preserve">The following items represent material budget variances surfaced by the Flux &amp; Variance Agent:</w:t>
      </w:r>
    </w:p>
    <w:p>
      <w:pPr>
        <w:spacing w:after="80" w:before="0"/>
      </w:pPr>
      <w:r>
        <w:t xml:space="preserve"/>
      </w:r>
    </w:p>
    <w:p>
      <w:pPr>
        <w:pStyle w:val="ListParagraph"/>
        <w:numPr>
          <w:ilvl w:val="0"/>
          <w:numId w:val="2"/>
        </w:numPr>
        <w:spacing w:after="60" w:before="60"/>
      </w:pPr>
      <w:r>
        <w:rPr>
          <w:rFonts w:ascii="Arial" w:cs="Arial" w:eastAsia="Arial" w:hAnsi="Arial"/>
          <w:b/>
          <w:bCs/>
          <w:color w:val="000000"/>
          <w:sz w:val="20"/>
          <w:szCs w:val="20"/>
        </w:rPr>
        <w:t xml:space="preserve">Performance Marketing $3.0M unfavorable to budget: </w:t>
      </w:r>
      <w:r>
        <w:rPr>
          <w:rFonts w:ascii="Arial" w:cs="Arial" w:eastAsia="Arial" w:hAnsi="Arial"/>
          <w:color w:val="000000"/>
          <w:sz w:val="20"/>
          <w:szCs w:val="20"/>
        </w:rPr>
        <w:t xml:space="preserve">Q4 campaign spend pulled forward into November; CMO-approved. Expect a comparable reduction in December performance marketing. November variance does not indicate a run-rate increase.</w:t>
      </w:r>
    </w:p>
    <w:p>
      <w:pPr>
        <w:pStyle w:val="ListParagraph"/>
        <w:numPr>
          <w:ilvl w:val="0"/>
          <w:numId w:val="2"/>
        </w:numPr>
        <w:spacing w:after="60" w:before="60"/>
      </w:pPr>
      <w:r>
        <w:rPr>
          <w:rFonts w:ascii="Arial" w:cs="Arial" w:eastAsia="Arial" w:hAnsi="Arial"/>
          <w:b/>
          <w:bCs/>
          <w:color w:val="000000"/>
          <w:sz w:val="20"/>
          <w:szCs w:val="20"/>
        </w:rPr>
        <w:t xml:space="preserve">CDN / Streaming Delivery $0.8M unfavorable to budget: </w:t>
      </w:r>
      <w:r>
        <w:rPr>
          <w:rFonts w:ascii="Arial" w:cs="Arial" w:eastAsia="Arial" w:hAnsi="Arial"/>
          <w:color w:val="000000"/>
          <w:sz w:val="20"/>
          <w:szCs w:val="20"/>
        </w:rPr>
        <w:t xml:space="preserve">Elevated streaming hours driven by the November content slate launch. Volume is within the normal operating range for a content release month; no structural cost issue.</w:t>
      </w:r>
    </w:p>
    <w:p>
      <w:pPr>
        <w:pStyle w:val="ListParagraph"/>
        <w:numPr>
          <w:ilvl w:val="0"/>
          <w:numId w:val="2"/>
        </w:numPr>
        <w:spacing w:after="60" w:before="60"/>
      </w:pPr>
      <w:r>
        <w:rPr>
          <w:rFonts w:ascii="Arial" w:cs="Arial" w:eastAsia="Arial" w:hAnsi="Arial"/>
          <w:b/>
          <w:bCs/>
          <w:color w:val="000000"/>
          <w:sz w:val="20"/>
          <w:szCs w:val="20"/>
        </w:rPr>
        <w:t xml:space="preserve">APAC Advertising Revenue $0.7M unfavorable to budget: </w:t>
      </w:r>
      <w:r>
        <w:rPr>
          <w:rFonts w:ascii="Arial" w:cs="Arial" w:eastAsia="Arial" w:hAnsi="Arial"/>
          <w:color w:val="000000"/>
          <w:sz w:val="20"/>
          <w:szCs w:val="20"/>
        </w:rPr>
        <w:t xml:space="preserve">Lower CPMs on APAC regional ad inventory versus budget assumptions. FP&amp;A is monitoring; no corrective action required at this time.</w:t>
      </w:r>
    </w:p>
    <w:p>
      <w:pPr>
        <w:spacing w:after="200" w:before="0"/>
      </w:pPr>
      <w:r>
        <w:t xml:space="preserve"/>
      </w:r>
    </w:p>
    <w:p>
      <w:pPr>
        <w:pBdr>
          <w:bottom w:val="single" w:color="2E75B6" w:sz="6" w:space="1"/>
        </w:pBdr>
        <w:spacing w:after="100" w:before="280"/>
      </w:pPr>
      <w:r>
        <w:rPr>
          <w:rFonts w:ascii="Arial" w:cs="Arial" w:eastAsia="Arial" w:hAnsi="Arial"/>
          <w:b/>
          <w:bCs/>
          <w:color w:val="1F4E79"/>
          <w:sz w:val="26"/>
          <w:szCs w:val="26"/>
        </w:rPr>
        <w:t xml:space="preserve">3. Close Exceptions</w:t>
      </w:r>
    </w:p>
    <w:p>
      <w:pPr>
        <w:spacing w:after="60" w:before="0"/>
      </w:pPr>
      <w:r>
        <w:t xml:space="preserve"/>
      </w:r>
    </w:p>
    <w:p>
      <w:pPr>
        <w:spacing w:after="80" w:before="80"/>
      </w:pPr>
      <w:r>
        <w:rPr>
          <w:rFonts w:ascii="Arial" w:cs="Arial" w:eastAsia="Arial" w:hAnsi="Arial"/>
          <w:color w:val="000000"/>
          <w:sz w:val="20"/>
          <w:szCs w:val="20"/>
        </w:rPr>
        <w:t xml:space="preserve">The Reconciliation Agent (v0.1.0) completed bank, intercompany, and accrual streams. </w:t>
      </w:r>
      <w:r>
        <w:rPr>
          <w:rFonts w:ascii="Arial" w:cs="Arial" w:eastAsia="Arial" w:hAnsi="Arial"/>
          <w:b/>
          <w:bCs/>
          <w:color w:val="000000"/>
          <w:sz w:val="20"/>
          <w:szCs w:val="20"/>
        </w:rPr>
        <w:t xml:space="preserve">Five exceptions</w:t>
      </w:r>
      <w:r>
        <w:rPr>
          <w:rFonts w:ascii="Arial" w:cs="Arial" w:eastAsia="Arial" w:hAnsi="Arial"/>
          <w:color w:val="000000"/>
          <w:sz w:val="20"/>
          <w:szCs w:val="20"/>
        </w:rPr>
        <w:t xml:space="preserve"> were identified, with the following status at package assembly:</w:t>
      </w:r>
    </w:p>
    <w:p>
      <w:pPr>
        <w:spacing w:after="80" w:before="0"/>
      </w:pPr>
      <w:r>
        <w:t xml:space="preserve"/>
      </w:r>
    </w:p>
    <w:p>
      <w:pPr>
        <w:pStyle w:val="ListParagraph"/>
        <w:numPr>
          <w:ilvl w:val="0"/>
          <w:numId w:val="2"/>
        </w:numPr>
        <w:spacing w:after="60" w:before="60"/>
      </w:pPr>
      <w:r>
        <w:rPr>
          <w:rFonts w:ascii="Arial" w:cs="Arial" w:eastAsia="Arial" w:hAnsi="Arial"/>
          <w:b/>
          <w:bCs/>
          <w:color w:val="000000"/>
          <w:sz w:val="20"/>
          <w:szCs w:val="20"/>
        </w:rPr>
        <w:t xml:space="preserve">EX-001 [OPEN]: </w:t>
      </w:r>
      <w:r>
        <w:rPr>
          <w:rFonts w:ascii="Arial" w:cs="Arial" w:eastAsia="Arial" w:hAnsi="Arial"/>
          <w:color w:val="000000"/>
          <w:sz w:val="20"/>
          <w:szCs w:val="20"/>
        </w:rPr>
        <w:t xml:space="preserve">Outstanding check #4521 ($45K, Greenway Productions, aged 67 days): pending vendor confirmation before JE-PROP-003 is posted. Owner: AP Manager. ETA: BD3 morning.</w:t>
      </w:r>
    </w:p>
    <w:p>
      <w:pPr>
        <w:pStyle w:val="ListParagraph"/>
        <w:numPr>
          <w:ilvl w:val="0"/>
          <w:numId w:val="2"/>
        </w:numPr>
        <w:spacing w:after="60" w:before="60"/>
      </w:pPr>
      <w:r>
        <w:rPr>
          <w:rFonts w:ascii="Arial" w:cs="Arial" w:eastAsia="Arial" w:hAnsi="Arial"/>
          <w:b/>
          <w:bCs/>
          <w:color w:val="000000"/>
          <w:sz w:val="20"/>
          <w:szCs w:val="20"/>
        </w:rPr>
        <w:t xml:space="preserve">EX-002 / EX-003 [PENDING APPROVAL]: </w:t>
      </w:r>
      <w:r>
        <w:rPr>
          <w:rFonts w:ascii="Arial" w:cs="Arial" w:eastAsia="Arial" w:hAnsi="Arial"/>
          <w:color w:val="000000"/>
          <w:sz w:val="20"/>
          <w:szCs w:val="20"/>
        </w:rPr>
        <w:t xml:space="preserve">Wire transfer fees ($2.5K) and interest credit ($8.2K) unbooked in GL: routine timing items. JE-PROP-001 and JE-PROP-002 are high-confidence and can be approved in batch by the Controller.</w:t>
      </w:r>
    </w:p>
    <w:p>
      <w:pPr>
        <w:pStyle w:val="ListParagraph"/>
        <w:numPr>
          <w:ilvl w:val="0"/>
          <w:numId w:val="2"/>
        </w:numPr>
        <w:spacing w:after="60" w:before="60"/>
      </w:pPr>
      <w:r>
        <w:rPr>
          <w:rFonts w:ascii="Arial" w:cs="Arial" w:eastAsia="Arial" w:hAnsi="Arial"/>
          <w:b/>
          <w:bCs/>
          <w:color w:val="000000"/>
          <w:sz w:val="20"/>
          <w:szCs w:val="20"/>
        </w:rPr>
        <w:t xml:space="preserve">EX-004 [OPEN — EMEA ACTION REQUIRED]: </w:t>
      </w:r>
      <w:r>
        <w:rPr>
          <w:rFonts w:ascii="Arial" w:cs="Arial" w:eastAsia="Arial" w:hAnsi="Arial"/>
          <w:color w:val="000000"/>
          <w:sz w:val="20"/>
          <w:szCs w:val="20"/>
        </w:rPr>
        <w:t xml:space="preserve">LuminaUS/LuminaEMEA intercompany mismatch of $12.4M: one-sided booking on the US side. Underlying amount is supported; LuminaEMEA has not yet recognized its side. JE-PROP-004 has been drafted and routed to the EMEA close team by the Orchestrator. No US-side adjustment is required.</w:t>
      </w:r>
    </w:p>
    <w:p>
      <w:pPr>
        <w:pStyle w:val="ListParagraph"/>
        <w:numPr>
          <w:ilvl w:val="0"/>
          <w:numId w:val="2"/>
        </w:numPr>
        <w:spacing w:after="60" w:before="60"/>
      </w:pPr>
      <w:r>
        <w:rPr>
          <w:rFonts w:ascii="Arial" w:cs="Arial" w:eastAsia="Arial" w:hAnsi="Arial"/>
          <w:b/>
          <w:bCs/>
          <w:color w:val="000000"/>
          <w:sz w:val="20"/>
          <w:szCs w:val="20"/>
        </w:rPr>
        <w:t xml:space="preserve">EX-005 [PENDING APPROVAL]: </w:t>
      </w:r>
      <w:r>
        <w:rPr>
          <w:rFonts w:ascii="Arial" w:cs="Arial" w:eastAsia="Arial" w:hAnsi="Arial"/>
          <w:color w:val="000000"/>
          <w:sz w:val="20"/>
          <w:szCs w:val="20"/>
        </w:rPr>
        <w:t xml:space="preserve">Stale October marketing accrual of $850K (ACR-2026-10-12) was never reversed when the invoice posted in November. JE-PROP-005 reversal is high-confidence and ready for Controller approval. November marketing expense is currently overstated by $850K pending this entry.</w:t>
      </w:r>
    </w:p>
    <w:p>
      <w:pPr>
        <w:spacing w:after="100" w:before="0"/>
      </w:pPr>
      <w:r>
        <w:t xml:space="preserve"/>
      </w:r>
    </w:p>
    <w:p>
      <w:pPr>
        <w:spacing w:after="80" w:before="80"/>
      </w:pPr>
      <w:r>
        <w:rPr>
          <w:rFonts w:ascii="Arial" w:cs="Arial" w:eastAsia="Arial" w:hAnsi="Arial"/>
          <w:b/>
          <w:bCs/>
          <w:color w:val="000000"/>
          <w:sz w:val="20"/>
          <w:szCs w:val="20"/>
        </w:rPr>
        <w:t xml:space="preserve">Close is not yet declared clean. </w:t>
      </w:r>
      <w:r>
        <w:rPr>
          <w:rFonts w:ascii="Arial" w:cs="Arial" w:eastAsia="Arial" w:hAnsi="Arial"/>
          <w:color w:val="000000"/>
          <w:sz w:val="20"/>
          <w:szCs w:val="20"/>
        </w:rPr>
        <w:t xml:space="preserve">EX-001 (outstanding check) and EX-004 (EMEA intercompany) remain open. The package will be updated once vendor confirmation is received and the EMEA entry is posted. See workpapers at </w:t>
      </w:r>
      <w:r>
        <w:rPr>
          <w:rFonts w:ascii="Arial" w:cs="Arial" w:eastAsia="Arial" w:hAnsi="Arial"/>
          <w:b w:val="false"/>
          <w:bCs w:val="false"/>
          <w:color w:val="2E75B6"/>
          <w:sz w:val="20"/>
          <w:szCs w:val="20"/>
        </w:rPr>
        <w:t xml:space="preserve">2026-11_LuminaUS_BankRec_v1.xlsx</w:t>
      </w:r>
      <w:r>
        <w:rPr>
          <w:rFonts w:ascii="Arial" w:cs="Arial" w:eastAsia="Arial" w:hAnsi="Arial"/>
          <w:color w:val="000000"/>
          <w:sz w:val="20"/>
          <w:szCs w:val="20"/>
        </w:rPr>
        <w:t xml:space="preserve"> and </w:t>
      </w:r>
      <w:r>
        <w:rPr>
          <w:rFonts w:ascii="Arial" w:cs="Arial" w:eastAsia="Arial" w:hAnsi="Arial"/>
          <w:b w:val="false"/>
          <w:bCs w:val="false"/>
          <w:color w:val="2E75B6"/>
          <w:sz w:val="20"/>
          <w:szCs w:val="20"/>
        </w:rPr>
        <w:t xml:space="preserve">2026-11_IC_Match_v1.xlsx</w:t>
      </w:r>
      <w:r>
        <w:rPr>
          <w:rFonts w:ascii="Arial" w:cs="Arial" w:eastAsia="Arial" w:hAnsi="Arial"/>
          <w:color w:val="000000"/>
          <w:sz w:val="20"/>
          <w:szCs w:val="20"/>
        </w:rPr>
        <w:t xml:space="preserve"> for full detail.</w:t>
      </w:r>
    </w:p>
    <w:p>
      <w:pPr>
        <w:spacing w:after="200" w:before="0"/>
      </w:pPr>
      <w:r>
        <w:t xml:space="preserve"/>
      </w:r>
    </w:p>
    <w:p>
      <w:pPr>
        <w:pBdr>
          <w:bottom w:val="single" w:color="2E75B6" w:sz="6" w:space="1"/>
        </w:pBdr>
        <w:spacing w:after="100" w:before="280"/>
      </w:pPr>
      <w:r>
        <w:rPr>
          <w:rFonts w:ascii="Arial" w:cs="Arial" w:eastAsia="Arial" w:hAnsi="Arial"/>
          <w:b/>
          <w:bCs/>
          <w:color w:val="1F4E79"/>
          <w:sz w:val="26"/>
          <w:szCs w:val="26"/>
        </w:rPr>
        <w:t xml:space="preserve">4. Cash and Liquidity</w:t>
      </w:r>
    </w:p>
    <w:p>
      <w:pPr>
        <w:spacing w:after="60" w:before="0"/>
      </w:pPr>
      <w:r>
        <w:t xml:space="preserve"/>
      </w:r>
    </w:p>
    <w:p>
      <w:pPr>
        <w:spacing w:after="80" w:before="80"/>
      </w:pPr>
      <w:r>
        <w:rPr>
          <w:rFonts w:ascii="Arial" w:cs="Arial" w:eastAsia="Arial" w:hAnsi="Arial"/>
          <w:color w:val="000000"/>
          <w:sz w:val="20"/>
          <w:szCs w:val="20"/>
        </w:rPr>
        <w:t xml:space="preserve">Ending cash and money market balances total </w:t>
      </w:r>
      <w:r>
        <w:rPr>
          <w:rFonts w:ascii="Arial" w:cs="Arial" w:eastAsia="Arial" w:hAnsi="Arial"/>
          <w:b/>
          <w:bCs/>
          <w:color w:val="000000"/>
          <w:sz w:val="20"/>
          <w:szCs w:val="20"/>
        </w:rPr>
        <w:t xml:space="preserve">$427.5M</w:t>
      </w:r>
      <w:r>
        <w:rPr>
          <w:rFonts w:ascii="Arial" w:cs="Arial" w:eastAsia="Arial" w:hAnsi="Arial"/>
          <w:color w:val="000000"/>
          <w:sz w:val="20"/>
          <w:szCs w:val="20"/>
        </w:rPr>
        <w:t xml:space="preserve"> as of November 30, 2026 ($142.5M operating + $285.0M money market), $2.5M ahead of budget. The operating account reconciled cleanly after the two pending GL adjustments (JE-PROP-001 and JE-PROP-002, aggregate $5.7K). No unusual cash movements were identified. Long-term debt remains at $750.0M with no new draws or repayments in the period. Liquidity position is stable.</w:t>
      </w:r>
    </w:p>
    <w:p>
      <w:pPr>
        <w:spacing w:after="200" w:before="0"/>
      </w:pPr>
      <w:r>
        <w:t xml:space="preserve"/>
      </w:r>
    </w:p>
    <w:p>
      <w:pPr>
        <w:pBdr>
          <w:bottom w:val="single" w:color="2E75B6" w:sz="6" w:space="1"/>
        </w:pBdr>
        <w:spacing w:after="100" w:before="280"/>
      </w:pPr>
      <w:r>
        <w:rPr>
          <w:rFonts w:ascii="Arial" w:cs="Arial" w:eastAsia="Arial" w:hAnsi="Arial"/>
          <w:b/>
          <w:bCs/>
          <w:color w:val="1F4E79"/>
          <w:sz w:val="26"/>
          <w:szCs w:val="26"/>
        </w:rPr>
        <w:t xml:space="preserve">5. Open Items — CFO Action Required</w:t>
      </w:r>
    </w:p>
    <w:p>
      <w:pPr>
        <w:spacing w:after="60" w:before="0"/>
      </w:pPr>
      <w:r>
        <w:t xml:space="preserve"/>
      </w:r>
    </w:p>
    <w:p>
      <w:pPr>
        <w:pStyle w:val="ListParagraph"/>
        <w:numPr>
          <w:ilvl w:val="0"/>
          <w:numId w:val="2"/>
        </w:numPr>
        <w:spacing w:after="60" w:before="60"/>
      </w:pPr>
      <w:r>
        <w:rPr>
          <w:rFonts w:ascii="Arial" w:cs="Arial" w:eastAsia="Arial" w:hAnsi="Arial"/>
          <w:b/>
          <w:bCs/>
          <w:color w:val="000000"/>
          <w:sz w:val="20"/>
          <w:szCs w:val="20"/>
        </w:rPr>
        <w:t xml:space="preserve">Controller approval: </w:t>
      </w:r>
      <w:r>
        <w:rPr>
          <w:rFonts w:ascii="Arial" w:cs="Arial" w:eastAsia="Arial" w:hAnsi="Arial"/>
          <w:color w:val="000000"/>
          <w:sz w:val="20"/>
          <w:szCs w:val="20"/>
        </w:rPr>
        <w:t xml:space="preserve">Approve JE-PROP-001 (interest credit $8.2K) and JE-PROP-002 (wire fees $2.5K) in batch. Low risk; recurring items.</w:t>
      </w:r>
    </w:p>
    <w:p>
      <w:pPr>
        <w:pStyle w:val="ListParagraph"/>
        <w:numPr>
          <w:ilvl w:val="0"/>
          <w:numId w:val="2"/>
        </w:numPr>
        <w:spacing w:after="60" w:before="60"/>
      </w:pPr>
      <w:r>
        <w:rPr>
          <w:rFonts w:ascii="Arial" w:cs="Arial" w:eastAsia="Arial" w:hAnsi="Arial"/>
          <w:b/>
          <w:bCs/>
          <w:color w:val="000000"/>
          <w:sz w:val="20"/>
          <w:szCs w:val="20"/>
        </w:rPr>
        <w:t xml:space="preserve">Outstanding check #4521: </w:t>
      </w:r>
      <w:r>
        <w:rPr>
          <w:rFonts w:ascii="Arial" w:cs="Arial" w:eastAsia="Arial" w:hAnsi="Arial"/>
          <w:color w:val="000000"/>
          <w:sz w:val="20"/>
          <w:szCs w:val="20"/>
        </w:rPr>
        <w:t xml:space="preserve">Greenway Productions confirmation outstanding. AP Manager to resolve by BD3 morning before JE-PROP-003 is posted.</w:t>
      </w:r>
    </w:p>
    <w:p>
      <w:pPr>
        <w:pStyle w:val="ListParagraph"/>
        <w:numPr>
          <w:ilvl w:val="0"/>
          <w:numId w:val="2"/>
        </w:numPr>
        <w:spacing w:after="60" w:before="60"/>
      </w:pPr>
      <w:r>
        <w:rPr>
          <w:rFonts w:ascii="Arial" w:cs="Arial" w:eastAsia="Arial" w:hAnsi="Arial"/>
          <w:b/>
          <w:bCs/>
          <w:color w:val="000000"/>
          <w:sz w:val="20"/>
          <w:szCs w:val="20"/>
        </w:rPr>
        <w:t xml:space="preserve">LuminaEMEA intercompany ($12.4M): </w:t>
      </w:r>
      <w:r>
        <w:rPr>
          <w:rFonts w:ascii="Arial" w:cs="Arial" w:eastAsia="Arial" w:hAnsi="Arial"/>
          <w:color w:val="000000"/>
          <w:sz w:val="20"/>
          <w:szCs w:val="20"/>
        </w:rPr>
        <w:t xml:space="preserve">JE-PROP-004 routed to EMEA Controller. Consolidations Lead to confirm EMEA entry is posted before TB is locked.</w:t>
      </w:r>
    </w:p>
    <w:p>
      <w:pPr>
        <w:pStyle w:val="ListParagraph"/>
        <w:numPr>
          <w:ilvl w:val="0"/>
          <w:numId w:val="2"/>
        </w:numPr>
        <w:spacing w:after="60" w:before="60"/>
      </w:pPr>
      <w:r>
        <w:rPr>
          <w:rFonts w:ascii="Arial" w:cs="Arial" w:eastAsia="Arial" w:hAnsi="Arial"/>
          <w:b/>
          <w:bCs/>
          <w:color w:val="000000"/>
          <w:sz w:val="20"/>
          <w:szCs w:val="20"/>
        </w:rPr>
        <w:t xml:space="preserve">Stale accrual reversal ($850K): </w:t>
      </w:r>
      <w:r>
        <w:rPr>
          <w:rFonts w:ascii="Arial" w:cs="Arial" w:eastAsia="Arial" w:hAnsi="Arial"/>
          <w:color w:val="000000"/>
          <w:sz w:val="20"/>
          <w:szCs w:val="20"/>
        </w:rPr>
        <w:t xml:space="preserve">JE-PROP-005 ready for approval once Controller reviews. Marketing expense overstated by $850K until posted.</w:t>
      </w:r>
    </w:p>
    <w:p>
      <w:pPr>
        <w:pStyle w:val="ListParagraph"/>
        <w:numPr>
          <w:ilvl w:val="0"/>
          <w:numId w:val="2"/>
        </w:numPr>
        <w:spacing w:after="60" w:before="60"/>
      </w:pPr>
      <w:r>
        <w:rPr>
          <w:rFonts w:ascii="Arial" w:cs="Arial" w:eastAsia="Arial" w:hAnsi="Arial"/>
          <w:b/>
          <w:bCs/>
          <w:color w:val="000000"/>
          <w:sz w:val="20"/>
          <w:szCs w:val="20"/>
        </w:rPr>
        <w:t xml:space="preserve">JE review exception (JE-2026-11-0042): </w:t>
      </w:r>
      <w:r>
        <w:rPr>
          <w:rFonts w:ascii="Arial" w:cs="Arial" w:eastAsia="Arial" w:hAnsi="Arial"/>
          <w:color w:val="000000"/>
          <w:sz w:val="20"/>
          <w:szCs w:val="20"/>
        </w:rPr>
        <w:t xml:space="preserve">JE-2026-11-0042 (Saturday posting, $1.5M reclassification, no support doc reference) requires support documentation before final TB lock. Flagged by JE Reviewer — pending resolution from James Walker.</w:t>
      </w:r>
    </w:p>
    <w:p>
      <w:pPr>
        <w:spacing w:after="240" w:before="0"/>
      </w:pPr>
      <w:r>
        <w:t xml:space="preserve"/>
      </w:r>
    </w:p>
    <w:p>
      <w:pPr>
        <w:pBdr>
          <w:bottom w:val="single" w:color="2E75B6" w:sz="6" w:space="1"/>
        </w:pBdr>
        <w:spacing w:after="100" w:before="280"/>
      </w:pPr>
      <w:r>
        <w:rPr>
          <w:rFonts w:ascii="Arial" w:cs="Arial" w:eastAsia="Arial" w:hAnsi="Arial"/>
          <w:b/>
          <w:bCs/>
          <w:color w:val="1F4E79"/>
          <w:sz w:val="26"/>
          <w:szCs w:val="26"/>
        </w:rPr>
        <w:t xml:space="preserve">6. Sign-Off</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CFO</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Controller</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FP&amp;A Manager</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1F4E79"/>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p>
      <w:pPr>
        <w:spacing w:after="120" w:before="0"/>
      </w:pPr>
      <w:r>
        <w:t xml:space="preserve"/>
      </w:r>
    </w:p>
    <w:p>
      <w:pPr>
        <w:spacing w:after="80" w:before="80"/>
      </w:pPr>
      <w:r>
        <w:rPr>
          <w:rFonts w:ascii="Arial" w:cs="Arial" w:eastAsia="Arial" w:hAnsi="Arial"/>
          <w:color w:val="595959"/>
          <w:sz w:val="18"/>
          <w:szCs w:val="18"/>
        </w:rPr>
        <w:t xml:space="preserve">This memo is a synthesis deliverable produced by the Close Reporting Agent. It does not modify source data or post journal entries. All proposed journal entries require human approval before posting. Upstream workpapers are referenced by path; open this document alongside the specialist agent outputs for full detail.</w:t>
      </w:r>
    </w:p>
    <w:sectPr>
      <w:headerReference w:type="default" r:id="rId7"/>
      <w:footerReference w:type="default" r:id="rId8"/>
      <w:pgSz w:w="12240" w:h="15840" w:orient="portrait"/>
      <w:pgMar w:top="1080" w:right="1296"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60"/>
    </w:pPr>
    <w:r>
      <w:rPr>
        <w:rFonts w:ascii="Arial" w:cs="Arial" w:eastAsia="Arial" w:hAnsi="Arial"/>
        <w:color w:val="595959"/>
        <w:sz w:val="14"/>
        <w:szCs w:val="14"/>
      </w:rPr>
      <w:t xml:space="preserve">PREPARED BY CLOSE REPORTING AGENT v0.1.0    ·    SOURCE: RECONCILIATION AGENT MEMO + TRIAL BALANCE</w:t>
    </w:r>
    <w:r>
      <w:rPr>
        <w:rFonts w:ascii="Arial" w:cs="Arial" w:eastAsia="Arial" w:hAnsi="Arial"/>
        <w:color w:val="595959"/>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4"/>
      </w:pBdr>
      <w:spacing w:after="0"/>
    </w:pPr>
    <w:r>
      <w:rPr>
        <w:rFonts w:ascii="Arial" w:cs="Arial" w:eastAsia="Arial" w:hAnsi="Arial"/>
        <w:b w:val="false"/>
        <w:bCs w:val="false"/>
        <w:color w:val="595959"/>
        <w:sz w:val="16"/>
        <w:szCs w:val="16"/>
      </w:rPr>
      <w:t xml:space="preserve">LUMINA STREAMING CO.    |    MONTH-END CLOSE — NOVEMBER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F4E79"/>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2026-05-26T00:39:08.761Z</dcterms:created>
  <dcterms:modified xsi:type="dcterms:W3CDTF">2026-05-26T00:39:08.761Z</dcterms:modified>
</cp:coreProperties>
</file>

<file path=docProps/custom.xml><?xml version="1.0" encoding="utf-8"?>
<Properties xmlns="http://schemas.openxmlformats.org/officeDocument/2006/custom-properties" xmlns:vt="http://schemas.openxmlformats.org/officeDocument/2006/docPropsVTypes"/>
</file>