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  <w:t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>
      <w:pPr>
        <w:spacing w:after="200" w:line="360" w:lineRule="auto"/>
      </w:pPr>
      <w:r>
        <w:rPr>
          <w:rFonts w:ascii="Google Sans" w:cs="Google Sans" w:eastAsia="Google Sans" w:hAnsi="Google Sans"/>
          <w:sz w:val="24"/>
          <w:szCs w:val="24"/>
        </w:rPr>
        <w:t xml:space="preserve">Botium Toys has a risk score of 8 out of 10. The biggest gaps are in access control, data protection and recovery. Closing them lowers the chance of a breach and of fines under PCI DSS and GDPR. I recommend this order:</w:t>
      </w:r>
    </w:p>
    <w:p>
      <w:pPr>
        <w:spacing w:after="200" w:line="360" w:lineRule="auto"/>
      </w:pPr>
      <w:r>
        <w:rPr>
          <w:rFonts w:ascii="Google Sans" w:cs="Google Sans" w:eastAsia="Google Sans" w:hAnsi="Google Sans"/>
          <w:b w:val="1"/>
          <w:sz w:val="24"/>
          <w:szCs w:val="24"/>
        </w:rPr>
        <w:t xml:space="preserve">1. Protect cardholder data and PII (PCI DSS, GDPR, SOC 2). </w:t>
      </w:r>
      <w:r>
        <w:rPr>
          <w:rFonts w:ascii="Google Sans" w:cs="Google Sans" w:eastAsia="Google Sans" w:hAnsi="Google Sans"/>
          <w:sz w:val="24"/>
          <w:szCs w:val="24"/>
        </w:rPr>
        <w:t xml:space="preserve">Encrypt credit card data and customer PII, both at rest in the internal database and in transit. Limit access with least privilege and role-based access, so only staff who handle payments can see cardholder data. Add separation of duties so one person cannot both grant and approve access or change financial records. Write a formal user access policy and review accounts every quarter.</w:t>
      </w:r>
    </w:p>
    <w:p>
      <w:pPr>
        <w:spacing w:after="200" w:line="360" w:lineRule="auto"/>
      </w:pPr>
      <w:r>
        <w:rPr>
          <w:rFonts w:ascii="Google Sans" w:cs="Google Sans" w:eastAsia="Google Sans" w:hAnsi="Google Sans"/>
          <w:b w:val="1"/>
          <w:sz w:val="24"/>
          <w:szCs w:val="24"/>
        </w:rPr>
        <w:t xml:space="preserve">2. Make sure the business can recover. </w:t>
      </w:r>
      <w:r>
        <w:rPr>
          <w:rFonts w:ascii="Google Sans" w:cs="Google Sans" w:eastAsia="Google Sans" w:hAnsi="Google Sans"/>
          <w:sz w:val="24"/>
          <w:szCs w:val="24"/>
        </w:rPr>
        <w:t xml:space="preserve">Create a disaster recovery plan and set up regular backups of critical data, including the customer, ecommerce and inventory databases. Keep at least one copy offline or offsite and test a restore at least twice a year. Today a ransomware attack or a disk failure could stop online sales with no way back.</w:t>
      </w:r>
    </w:p>
    <w:p>
      <w:pPr>
        <w:spacing w:after="200" w:line="360" w:lineRule="auto"/>
      </w:pPr>
      <w:r>
        <w:rPr>
          <w:rFonts w:ascii="Google Sans" w:cs="Google Sans" w:eastAsia="Google Sans" w:hAnsi="Google Sans"/>
          <w:b w:val="1"/>
          <w:sz w:val="24"/>
          <w:szCs w:val="24"/>
        </w:rPr>
        <w:t xml:space="preserve">3. Add detection. </w:t>
      </w:r>
      <w:r>
        <w:rPr>
          <w:rFonts w:ascii="Google Sans" w:cs="Google Sans" w:eastAsia="Google Sans" w:hAnsi="Google Sans"/>
          <w:sz w:val="24"/>
          <w:szCs w:val="24"/>
        </w:rPr>
        <w:t xml:space="preserve">Install an intrusion detection system (IDS) on the internal network. The firewall and antivirus block known threats, but they do not show suspicious activity that is already inside the network.</w:t>
      </w:r>
    </w:p>
    <w:p>
      <w:pPr>
        <w:spacing w:after="200" w:line="360" w:lineRule="auto"/>
      </w:pPr>
      <w:r>
        <w:rPr>
          <w:rFonts w:ascii="Google Sans" w:cs="Google Sans" w:eastAsia="Google Sans" w:hAnsi="Google Sans"/>
          <w:b w:val="1"/>
          <w:sz w:val="24"/>
          <w:szCs w:val="24"/>
        </w:rPr>
        <w:t xml:space="preserve">4. Fix passwords. </w:t>
      </w:r>
      <w:r>
        <w:rPr>
          <w:rFonts w:ascii="Google Sans" w:cs="Google Sans" w:eastAsia="Google Sans" w:hAnsi="Google Sans"/>
          <w:sz w:val="24"/>
          <w:szCs w:val="24"/>
        </w:rPr>
        <w:t xml:space="preserve">Update the password policy to current minimum requirements (at least eight characters, letters, at least one number and special characters). Introduce a centralized password management system that enforces the policy. This also reduces reset tickets to the IT department. Multi-factor authentication for admin and remote accounts is a good next step.</w:t>
      </w:r>
    </w:p>
    <w:p>
      <w:pPr>
        <w:spacing w:after="200" w:line="360" w:lineRule="auto"/>
      </w:pPr>
      <w:r>
        <w:rPr>
          <w:rFonts w:ascii="Google Sans" w:cs="Google Sans" w:eastAsia="Google Sans" w:hAnsi="Google Sans"/>
          <w:b w:val="1"/>
          <w:sz w:val="24"/>
          <w:szCs w:val="24"/>
        </w:rPr>
        <w:t xml:space="preserve">5. Know and classify the assets. </w:t>
      </w:r>
      <w:r>
        <w:rPr>
          <w:rFonts w:ascii="Google Sans" w:cs="Google Sans" w:eastAsia="Google Sans" w:hAnsi="Google Sans"/>
          <w:sz w:val="24"/>
          <w:szCs w:val="24"/>
        </w:rPr>
        <w:t xml:space="preserve">Build a full asset inventory and classify data by sensitivity, as the Identify function in the NIST CSF requires. GDPR also expects this. Set a fixed schedule for monitoring and maintaining legacy systems, with clear steps for who intervenes and how, and plan to replace end-of-life systems.</w:t>
      </w:r>
    </w:p>
    <w:p>
      <w:pPr>
        <w:spacing w:after="200" w:line="360" w:lineRule="auto"/>
      </w:pPr>
      <w:r>
        <w:rPr>
          <w:rFonts w:ascii="Google Sans" w:cs="Google Sans" w:eastAsia="Google Sans" w:hAnsi="Google Sans"/>
          <w:b w:val="1"/>
          <w:sz w:val="24"/>
          <w:szCs w:val="24"/>
        </w:rPr>
        <w:t xml:space="preserve">6. Round off physical security. </w:t>
      </w:r>
      <w:r>
        <w:rPr>
          <w:rFonts w:ascii="Google Sans" w:cs="Google Sans" w:eastAsia="Google Sans" w:hAnsi="Google Sans"/>
          <w:sz w:val="24"/>
          <w:szCs w:val="24"/>
        </w:rPr>
        <w:t xml:space="preserve">Locks, CCTV and fire detection are already in place. Locking cabinets for network gear, adequate lighting, alarm provider signage and a time-controlled safe would cover the remaining physical controls.</w:t>
      </w:r>
    </w:p>
    <w:p>
      <w:pPr>
        <w:spacing w:after="200" w:line="360" w:lineRule="auto"/>
      </w:pPr>
      <w:r>
        <w:rPr>
          <w:rFonts w:ascii="Google Sans" w:cs="Google Sans" w:eastAsia="Google Sans" w:hAnsi="Google Sans"/>
          <w:sz w:val="24"/>
          <w:szCs w:val="24"/>
        </w:rPr>
        <w:t xml:space="preserve">The firewall, antivirus, the 72-hour breach notification plan, the privacy policies and the controls for data integrity and availability work today and should be kept as they are.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