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2C10C" w14:textId="39FFF480" w:rsidR="00523628" w:rsidRPr="00523628" w:rsidRDefault="00D0527C" w:rsidP="00523628">
      <w:pPr>
        <w:pStyle w:val="PlainText"/>
        <w:spacing w:line="360" w:lineRule="auto"/>
        <w:rPr>
          <w:rFonts w:ascii="Times New Roman" w:hAnsi="Times New Roman" w:cs="Times New Roman"/>
        </w:rPr>
      </w:pPr>
      <w:r>
        <w:rPr>
          <w:noProof/>
        </w:rPr>
        <w:pict w14:anchorId="075BC08C">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Pr>
          <w:rFonts w:ascii="Times New Roman" w:hAnsi="Times New Roman" w:cs="Times New Roman"/>
        </w:rPr>
        <w:br w:type="textWrapping" w:clear="all"/>
      </w:r>
    </w:p>
    <w:p w14:paraId="26F4AF0C" w14:textId="77777777" w:rsidR="00523628" w:rsidRPr="00523628" w:rsidRDefault="00523628" w:rsidP="00523628">
      <w:pPr>
        <w:pStyle w:val="PlainText"/>
        <w:spacing w:line="360" w:lineRule="auto"/>
        <w:rPr>
          <w:rFonts w:ascii="Times New Roman" w:hAnsi="Times New Roman" w:cs="Times New Roman"/>
          <w:b/>
          <w:bCs/>
        </w:rPr>
      </w:pPr>
      <w:r w:rsidRPr="00523628">
        <w:rPr>
          <w:rFonts w:ascii="Times New Roman" w:hAnsi="Times New Roman" w:cs="Times New Roman"/>
          <w:b/>
          <w:bCs/>
        </w:rPr>
        <w:t>3. FACTORS THAT INFLUENCE DRUG DOSAGE</w:t>
      </w:r>
    </w:p>
    <w:p w14:paraId="13EC26FC"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rPr>
        <w:t>Drug dosage determination is a fundamental aspect of posology and represents one of the most critical responsibilities in pharmacotherapy. The primary aim of dosage determination is to achieve an optimal balance between therapeutic efficacy and safety. However, individuals respond differently to the same drug and dose due to variations in physiological, pathological, genetic, environmental, and behavioral factors. These variations make it necessary to individualize drug dosage rather than rely solely on standardized dosing regimens. A comprehensive understanding of the factors that influence drug dosage is therefore essential for ensuring rational, safe, and effective drug therapy.</w:t>
      </w:r>
    </w:p>
    <w:p w14:paraId="65A04EA6"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b/>
          <w:bCs/>
        </w:rPr>
        <w:t>Age</w:t>
      </w:r>
      <w:r w:rsidRPr="00523628">
        <w:rPr>
          <w:rFonts w:ascii="Times New Roman" w:hAnsi="Times New Roman" w:cs="Times New Roman"/>
        </w:rPr>
        <w:t xml:space="preserve"> is one of the most influential determinants of drug dosage because the structure and function of organs involved in drug handling </w:t>
      </w:r>
      <w:proofErr w:type="gramStart"/>
      <w:r w:rsidRPr="00523628">
        <w:rPr>
          <w:rFonts w:ascii="Times New Roman" w:hAnsi="Times New Roman" w:cs="Times New Roman"/>
        </w:rPr>
        <w:t>change</w:t>
      </w:r>
      <w:proofErr w:type="gramEnd"/>
      <w:r w:rsidRPr="00523628">
        <w:rPr>
          <w:rFonts w:ascii="Times New Roman" w:hAnsi="Times New Roman" w:cs="Times New Roman"/>
        </w:rPr>
        <w:t xml:space="preserve"> throughout life. In pediatric patients, particularly neonates and infants, physiological systems are immature. Gastric pH is higher at birth, which can affect the solubility and absorption of weakly acidic and basic drugs. Gastric emptying and intestinal motility are slower, leading to delayed drug absorption. Hepatic enzyme systems responsible for drug metabolism are underdeveloped, resulting in prolonged drug half-life for many medications. Renal excretion is also reduced due to immature glomerular filtration and tubular secretion. These factors significantly increase the risk of drug accumulation and toxicity in children if adult doses are used. Consequently, pediatric drug doses are </w:t>
      </w:r>
      <w:proofErr w:type="gramStart"/>
      <w:r w:rsidRPr="00523628">
        <w:rPr>
          <w:rFonts w:ascii="Times New Roman" w:hAnsi="Times New Roman" w:cs="Times New Roman"/>
        </w:rPr>
        <w:t>carefully calculated</w:t>
      </w:r>
      <w:proofErr w:type="gramEnd"/>
      <w:r w:rsidRPr="00523628">
        <w:rPr>
          <w:rFonts w:ascii="Times New Roman" w:hAnsi="Times New Roman" w:cs="Times New Roman"/>
        </w:rPr>
        <w:t xml:space="preserve"> based on body weight or body surface area to ensure safety and therapeutic effectiveness.</w:t>
      </w:r>
    </w:p>
    <w:p w14:paraId="51F6283B"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rPr>
        <w:t xml:space="preserve">In contrast, </w:t>
      </w:r>
      <w:r w:rsidRPr="00523628">
        <w:rPr>
          <w:rFonts w:ascii="Times New Roman" w:hAnsi="Times New Roman" w:cs="Times New Roman"/>
          <w:b/>
          <w:bCs/>
        </w:rPr>
        <w:t>geriatric patients</w:t>
      </w:r>
      <w:r w:rsidRPr="00523628">
        <w:rPr>
          <w:rFonts w:ascii="Times New Roman" w:hAnsi="Times New Roman" w:cs="Times New Roman"/>
        </w:rPr>
        <w:t xml:space="preserve"> experience progressive physiological decline that alters drug pharmacokinetics and pharmacodynamics. Aging is associated with reduced renal blood flow, decreased glomerular filtration rate, and diminished hepatic mass and metabolic capacity. These changes slow the elimination of drugs, increasing the risk of accumulation and adverse drug reactions. Additionally, elderly patients often exhibit altered body composition, characterized by decreased lean body mass and total body water and increased adipose tissue. These changes affect drug distribution, particularly for lipophilic drugs, which may have prolonged durations of action. Because older adults are also more likely to experience polypharmacy and chronic illnesses, dosage regimens must be carefully individualized, typically beginning with lower doses and gradual titration while closely monitoring therapeutic response and adverse effects.</w:t>
      </w:r>
    </w:p>
    <w:p w14:paraId="6B725392"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b/>
          <w:bCs/>
        </w:rPr>
        <w:t>Body weight and body surface area</w:t>
      </w:r>
      <w:r w:rsidRPr="00523628">
        <w:rPr>
          <w:rFonts w:ascii="Times New Roman" w:hAnsi="Times New Roman" w:cs="Times New Roman"/>
        </w:rPr>
        <w:t xml:space="preserve"> are essential considerations in dosage determination. Body weight directly influences the volume of distribution and clearance of many drugs. Underweight individuals may be at risk of toxicity if standard doses are administered, whereas obese patients may receive subtherapeutic doses if dosing is not adjusted appropriately. In some cases, total body weight may overestimate drug requirements, particularly for drugs that do not extensively distribute into adipose tissue. Body surface area is often considered a more accurate parameter for dosing because it correlates more closely with metabolic rate, cardiac output, and renal function. This method is commonly used for </w:t>
      </w:r>
      <w:proofErr w:type="gramStart"/>
      <w:r w:rsidRPr="00523628">
        <w:rPr>
          <w:rFonts w:ascii="Times New Roman" w:hAnsi="Times New Roman" w:cs="Times New Roman"/>
        </w:rPr>
        <w:t>dosing</w:t>
      </w:r>
      <w:proofErr w:type="gramEnd"/>
      <w:r w:rsidRPr="00523628">
        <w:rPr>
          <w:rFonts w:ascii="Times New Roman" w:hAnsi="Times New Roman" w:cs="Times New Roman"/>
        </w:rPr>
        <w:t xml:space="preserve"> cytotoxic and high-risk medications to improve precision and reduce adverse outcomes.</w:t>
      </w:r>
    </w:p>
    <w:p w14:paraId="1BFCF6B6"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b/>
          <w:bCs/>
        </w:rPr>
        <w:lastRenderedPageBreak/>
        <w:t>Sex and gender-related differences</w:t>
      </w:r>
      <w:r w:rsidRPr="00523628">
        <w:rPr>
          <w:rFonts w:ascii="Times New Roman" w:hAnsi="Times New Roman" w:cs="Times New Roman"/>
        </w:rPr>
        <w:t xml:space="preserve"> also influence drug dosage. Physiological differences between males and females, including hormonal fluctuations, gastric motility, enzyme activity, and body composition, can affect drug absorption, metabolism, and distribution. For example, females generally have a higher percentage of body fat, which can prolong the effects of lipophilic drugs. Hormonal changes during the menstrual cycle, pregnancy, and menopause further influence drug response. Pregnancy introduces profound physiological changes, including increased plasma volume, altered protein binding, enhanced renal clearance, and changes in hepatic enzyme activity. These changes often necessitate dosage adjustments to maintain therapeutic efficacy while minimizing risks to both the mother and fetus.</w:t>
      </w:r>
    </w:p>
    <w:p w14:paraId="52916288"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b/>
          <w:bCs/>
        </w:rPr>
        <w:t>Pathophysiological factors</w:t>
      </w:r>
      <w:r w:rsidRPr="00523628">
        <w:rPr>
          <w:rFonts w:ascii="Times New Roman" w:hAnsi="Times New Roman" w:cs="Times New Roman"/>
        </w:rPr>
        <w:t xml:space="preserve"> play a major role in determining appropriate drug dosage. Diseases that impair organ function can significantly alter pharmacokinetics. Renal impairment is particularly important because the kidneys are responsible for eliminating many drugs and their metabolites. Reduced renal function leads to decreased drug clearance and prolonged half-life, increasing the risk of toxicity. Dosage adjustments based on renal function estimates, such as creatinine clearance, are essential to prevent adverse outcomes. Similarly, hepatic impairment affects drug metabolism. Liver diseases such as cirrhosis, hepatitis, and hepatic failure reduce the liver’s capacity to metabolize drugs, resulting in increased systemic exposure. In such cases, </w:t>
      </w:r>
      <w:proofErr w:type="gramStart"/>
      <w:r w:rsidRPr="00523628">
        <w:rPr>
          <w:rFonts w:ascii="Times New Roman" w:hAnsi="Times New Roman" w:cs="Times New Roman"/>
        </w:rPr>
        <w:t>dose</w:t>
      </w:r>
      <w:proofErr w:type="gramEnd"/>
      <w:r w:rsidRPr="00523628">
        <w:rPr>
          <w:rFonts w:ascii="Times New Roman" w:hAnsi="Times New Roman" w:cs="Times New Roman"/>
        </w:rPr>
        <w:t xml:space="preserve"> reduction or extended dosing intervals are often required.</w:t>
      </w:r>
    </w:p>
    <w:p w14:paraId="2E7DE103"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rPr>
        <w:t>Cardiovascular diseases can also influence drug dosage. Conditions such as heart failure reduce tissue perfusion and hepatic and renal blood flow, impairing drug distribution and elimination. Endocrine disorders, including thyroid dysfunction and diabetes mellitus, alter metabolic rate and drug response. For example, hyperthyroidism may increase drug metabolism, while hypothyroidism may reduce it, requiring dosage modification to maintain therapeutic effects.</w:t>
      </w:r>
    </w:p>
    <w:p w14:paraId="2E2DEF41"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b/>
          <w:bCs/>
        </w:rPr>
        <w:t>Genetic factors</w:t>
      </w:r>
      <w:r w:rsidRPr="00523628">
        <w:rPr>
          <w:rFonts w:ascii="Times New Roman" w:hAnsi="Times New Roman" w:cs="Times New Roman"/>
        </w:rPr>
        <w:t xml:space="preserve"> are increasingly recognized as important determinants of drug dosage. Genetic polymorphisms in drug-metabolizing enzymes, transporters, and receptors contribute to interindividual variability in drug response. Some individuals metabolize drugs slowly, leading to accumulation and toxicity, while others metabolize drugs rapidly and may require higher doses to achieve therapeutic effects. Pharmacogenetic considerations support the movement toward personalized medicine, where drug doses are tailored based on genetic profiles to optimize outcomes and reduce adverse reactions.</w:t>
      </w:r>
    </w:p>
    <w:p w14:paraId="33406F2D"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b/>
          <w:bCs/>
        </w:rPr>
        <w:t>Drug interactions and polypharmacy</w:t>
      </w:r>
      <w:r w:rsidRPr="00523628">
        <w:rPr>
          <w:rFonts w:ascii="Times New Roman" w:hAnsi="Times New Roman" w:cs="Times New Roman"/>
        </w:rPr>
        <w:t xml:space="preserve"> significantly affect dosage requirements, particularly in elderly and chronically ill patients. The concurrent use of multiple drugs increases the likelihood of pharmacokinetic interactions that alter absorption, metabolism, or excretion. Enzyme induction or inhibition by one drug can change the plasma concentration of another, necessitating dosage adjustments. Failure to account for these interactions can result in therapeutic failure or serious toxicity.</w:t>
      </w:r>
    </w:p>
    <w:p w14:paraId="49F5CDAA"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rPr>
        <w:t xml:space="preserve">The </w:t>
      </w:r>
      <w:r w:rsidRPr="00523628">
        <w:rPr>
          <w:rFonts w:ascii="Times New Roman" w:hAnsi="Times New Roman" w:cs="Times New Roman"/>
          <w:b/>
          <w:bCs/>
        </w:rPr>
        <w:t>route of administration and dosage form</w:t>
      </w:r>
      <w:r w:rsidRPr="00523628">
        <w:rPr>
          <w:rFonts w:ascii="Times New Roman" w:hAnsi="Times New Roman" w:cs="Times New Roman"/>
        </w:rPr>
        <w:t xml:space="preserve"> also </w:t>
      </w:r>
      <w:proofErr w:type="gramStart"/>
      <w:r w:rsidRPr="00523628">
        <w:rPr>
          <w:rFonts w:ascii="Times New Roman" w:hAnsi="Times New Roman" w:cs="Times New Roman"/>
        </w:rPr>
        <w:t>influence</w:t>
      </w:r>
      <w:proofErr w:type="gramEnd"/>
      <w:r w:rsidRPr="00523628">
        <w:rPr>
          <w:rFonts w:ascii="Times New Roman" w:hAnsi="Times New Roman" w:cs="Times New Roman"/>
        </w:rPr>
        <w:t xml:space="preserve"> drug dosage. Oral administration may involve first-pass metabolism, reducing bioavailability, whereas parenteral routes bypass this process and often require lower doses. Modified-release formulations alter drug absorption rates and dosing frequency, requiring careful consideration during dosage planning.</w:t>
      </w:r>
    </w:p>
    <w:p w14:paraId="75DFD510" w14:textId="77777777" w:rsidR="00523628" w:rsidRP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b/>
          <w:bCs/>
        </w:rPr>
        <w:lastRenderedPageBreak/>
        <w:t>Environmental and lifestyle factors</w:t>
      </w:r>
      <w:r w:rsidRPr="00523628">
        <w:rPr>
          <w:rFonts w:ascii="Times New Roman" w:hAnsi="Times New Roman" w:cs="Times New Roman"/>
        </w:rPr>
        <w:t>, such as diet, alcohol consumption, smoking, and exposure to pollutants, can modify drug metabolism. For instance, smoking induces hepatic enzymes, increasing the metabolism of certain drugs and reducing their effectiveness at standard doses. Alcohol may either induce or inhibit drug metabolism depending on usage patterns.</w:t>
      </w:r>
    </w:p>
    <w:p w14:paraId="26FDACA4" w14:textId="77777777" w:rsidR="00523628" w:rsidRDefault="00523628" w:rsidP="00523628">
      <w:pPr>
        <w:pStyle w:val="PlainText"/>
        <w:spacing w:line="360" w:lineRule="auto"/>
        <w:rPr>
          <w:rFonts w:ascii="Times New Roman" w:hAnsi="Times New Roman" w:cs="Times New Roman"/>
        </w:rPr>
      </w:pPr>
      <w:r w:rsidRPr="00523628">
        <w:rPr>
          <w:rFonts w:ascii="Times New Roman" w:hAnsi="Times New Roman" w:cs="Times New Roman"/>
        </w:rPr>
        <w:t xml:space="preserve">Finally, </w:t>
      </w:r>
      <w:r w:rsidRPr="00523628">
        <w:rPr>
          <w:rFonts w:ascii="Times New Roman" w:hAnsi="Times New Roman" w:cs="Times New Roman"/>
          <w:b/>
          <w:bCs/>
        </w:rPr>
        <w:t>patient adherence and compliance</w:t>
      </w:r>
      <w:r w:rsidRPr="00523628">
        <w:rPr>
          <w:rFonts w:ascii="Times New Roman" w:hAnsi="Times New Roman" w:cs="Times New Roman"/>
        </w:rPr>
        <w:t xml:space="preserve"> are critical to the success of any dosing regimen. Even accurately calculated doses may fail if patients do not follow prescribed instructions. Complex regimens increase the likelihood of nonadherence, highlighting the importance of individualized and simplified dosing strategies.</w:t>
      </w:r>
    </w:p>
    <w:p w14:paraId="41021A11" w14:textId="77777777" w:rsidR="00D0527C" w:rsidRDefault="00D0527C" w:rsidP="00523628">
      <w:pPr>
        <w:pStyle w:val="PlainText"/>
        <w:spacing w:line="360" w:lineRule="auto"/>
        <w:rPr>
          <w:rFonts w:ascii="Times New Roman" w:hAnsi="Times New Roman" w:cs="Times New Roman"/>
        </w:rPr>
      </w:pPr>
    </w:p>
    <w:p w14:paraId="7B4283A8" w14:textId="77777777" w:rsidR="00D0527C" w:rsidRPr="00D0527C" w:rsidRDefault="00D0527C" w:rsidP="00D0527C">
      <w:pPr>
        <w:pStyle w:val="PlainText"/>
        <w:spacing w:line="360" w:lineRule="auto"/>
        <w:rPr>
          <w:rFonts w:ascii="Times New Roman" w:hAnsi="Times New Roman" w:cs="Times New Roman"/>
          <w:b/>
          <w:bCs/>
        </w:rPr>
      </w:pPr>
      <w:r w:rsidRPr="00D0527C">
        <w:rPr>
          <w:rFonts w:ascii="Times New Roman" w:hAnsi="Times New Roman" w:cs="Times New Roman"/>
          <w:b/>
          <w:bCs/>
        </w:rPr>
        <w:t>4. CALCULATION TECHNIQUES FOR DRUG DOSES</w:t>
      </w:r>
    </w:p>
    <w:p w14:paraId="41C1BF83"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Accurate drug dose calculation is a cornerstone of safe and effective pharmacotherapy. Mathematical calculations provide standardized methods for tailoring drug doses to individual patient characteristics, thereby minimizing medication errors and enhancing therapeutic outcomes. These techniques are particularly important in vulnerable populations such as pediatric patients, geriatric patients, and individuals with organ impairment.</w:t>
      </w:r>
    </w:p>
    <w:p w14:paraId="40DCEB9E"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 xml:space="preserve">In pediatric practice, dose calculation is </w:t>
      </w:r>
      <w:proofErr w:type="gramStart"/>
      <w:r w:rsidRPr="00D0527C">
        <w:rPr>
          <w:rFonts w:ascii="Times New Roman" w:hAnsi="Times New Roman" w:cs="Times New Roman"/>
        </w:rPr>
        <w:t>most commonly based</w:t>
      </w:r>
      <w:proofErr w:type="gramEnd"/>
      <w:r w:rsidRPr="00D0527C">
        <w:rPr>
          <w:rFonts w:ascii="Times New Roman" w:hAnsi="Times New Roman" w:cs="Times New Roman"/>
        </w:rPr>
        <w:t xml:space="preserve"> on body weight. This method ensures proportional dosing relative to the child’s size and metabolic capacity. Pediatric doses are frequently calculated using the expression</w:t>
      </w:r>
      <w:r w:rsidRPr="00D0527C">
        <w:rPr>
          <w:rFonts w:ascii="Times New Roman" w:hAnsi="Times New Roman" w:cs="Times New Roman"/>
        </w:rPr>
        <w:br/>
        <w:t>Dose (mg) = body weight (kg) × prescribed dose (mg/kg).</w:t>
      </w:r>
      <w:r w:rsidRPr="00D0527C">
        <w:rPr>
          <w:rFonts w:ascii="Times New Roman" w:hAnsi="Times New Roman" w:cs="Times New Roman"/>
        </w:rPr>
        <w:br/>
        <w:t>This approach is widely applied to antibiotics, analgesics, and antipyretics and helps prevent both underdosing and overdosing.</w:t>
      </w:r>
    </w:p>
    <w:p w14:paraId="7647DCDE"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For drugs with narrow therapeutic indices, body surface area–based dosing provides greater accuracy. After calculating body surface area using standard formulas, the pediatric dose is derived by comparing the child’s body surface area to that of an average adult. This method is especially valuable in oncology and critical care settings, where precise dosing is essential.</w:t>
      </w:r>
    </w:p>
    <w:p w14:paraId="3DF13400"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Traditional dosing rules, such as Clark’s rule, estimate pediatric doses based on body weight relative to an average adult weight. Clark’s rule is expressed as</w:t>
      </w:r>
      <w:r w:rsidRPr="00D0527C">
        <w:rPr>
          <w:rFonts w:ascii="Times New Roman" w:hAnsi="Times New Roman" w:cs="Times New Roman"/>
        </w:rPr>
        <w:br/>
        <w:t>Child’s dose = (weight in pounds / 150) × adult dose.</w:t>
      </w:r>
      <w:r w:rsidRPr="00D0527C">
        <w:rPr>
          <w:rFonts w:ascii="Times New Roman" w:hAnsi="Times New Roman" w:cs="Times New Roman"/>
        </w:rPr>
        <w:br/>
        <w:t>Although less precise than modern methods, such rules remain useful in certain clinical and educational contexts.</w:t>
      </w:r>
    </w:p>
    <w:p w14:paraId="6964A782"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Geriatric dose calculation focuses on reduced organ function and increased sensitivity to medications. Renal function assessment plays a central role, as many drugs are eliminated via the kidneys. Dose adjustment may involve reducing the dose proportionally to the patient’s creatinine clearance or extending the dosing interval to allow adequate drug elimination.</w:t>
      </w:r>
    </w:p>
    <w:p w14:paraId="557B1951"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 xml:space="preserve">In patients with renal impairment, two principal strategies are employed. The dose reduction method reduces the amount of drug administered while maintaining the same dosing interval, whereas the interval extension </w:t>
      </w:r>
      <w:r w:rsidRPr="00D0527C">
        <w:rPr>
          <w:rFonts w:ascii="Times New Roman" w:hAnsi="Times New Roman" w:cs="Times New Roman"/>
        </w:rPr>
        <w:lastRenderedPageBreak/>
        <w:t>method maintains the dose but increases the interval between doses. These approaches are selected based on the drug’s pharmacokinetic properties and therapeutic goals.</w:t>
      </w:r>
    </w:p>
    <w:p w14:paraId="6E871243"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Hepatic impairment presents additional challenges, as standardized dosing formulas are limited. In such cases, clinicians rely on liver function tests, clinical judgment, and careful monitoring to guide dose reduction or interval adjustment.</w:t>
      </w:r>
    </w:p>
    <w:p w14:paraId="4ED48C60"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Body mass index is increasingly used to guide dose calculation, particularly in obese or underweight patients. BMI is calculated using the formula</w:t>
      </w:r>
      <w:r w:rsidRPr="00D0527C">
        <w:rPr>
          <w:rFonts w:ascii="Times New Roman" w:hAnsi="Times New Roman" w:cs="Times New Roman"/>
        </w:rPr>
        <w:br/>
        <w:t>BMI = weight (kg) / height² (m²).</w:t>
      </w:r>
      <w:r w:rsidRPr="00D0527C">
        <w:rPr>
          <w:rFonts w:ascii="Times New Roman" w:hAnsi="Times New Roman" w:cs="Times New Roman"/>
        </w:rPr>
        <w:br/>
        <w:t>This parameter assists in determining whether dosing should be based on total body weight, ideal body weight, or lean body weight to achieve optimal therapeutic outcomes.</w:t>
      </w:r>
    </w:p>
    <w:p w14:paraId="4B1A186A" w14:textId="77777777" w:rsidR="00D0527C" w:rsidRPr="00D0527C" w:rsidRDefault="00D0527C" w:rsidP="00D0527C">
      <w:pPr>
        <w:pStyle w:val="PlainText"/>
        <w:spacing w:line="360" w:lineRule="auto"/>
        <w:rPr>
          <w:rFonts w:ascii="Times New Roman" w:hAnsi="Times New Roman" w:cs="Times New Roman"/>
        </w:rPr>
      </w:pPr>
      <w:r w:rsidRPr="00D0527C">
        <w:rPr>
          <w:rFonts w:ascii="Times New Roman" w:hAnsi="Times New Roman" w:cs="Times New Roman"/>
        </w:rPr>
        <w:t>The accuracy of drug dose calculation is critical for patient safety. Healthcare professionals must apply appropriate formulas, ensure correct unit conversion, and double-check calculations. When combined with sound clinical judgment, accurate dose calculation forms the foundation of rational drug therapy and effective posology practice.</w:t>
      </w:r>
    </w:p>
    <w:p w14:paraId="35F84AC2" w14:textId="77777777" w:rsidR="00D0527C" w:rsidRPr="00523628" w:rsidRDefault="00D0527C" w:rsidP="00523628">
      <w:pPr>
        <w:pStyle w:val="PlainText"/>
        <w:spacing w:line="360" w:lineRule="auto"/>
        <w:rPr>
          <w:rFonts w:ascii="Times New Roman" w:hAnsi="Times New Roman" w:cs="Times New Roman"/>
        </w:rPr>
      </w:pPr>
    </w:p>
    <w:p w14:paraId="7FDD53DE" w14:textId="08E08ED9" w:rsidR="0069019D" w:rsidRPr="001007F6" w:rsidRDefault="0069019D" w:rsidP="001007F6">
      <w:pPr>
        <w:pStyle w:val="PlainText"/>
        <w:spacing w:line="360" w:lineRule="auto"/>
        <w:rPr>
          <w:rFonts w:ascii="Times New Roman" w:hAnsi="Times New Roman" w:cs="Times New Roman"/>
        </w:rPr>
      </w:pPr>
    </w:p>
    <w:sectPr w:rsidR="0069019D" w:rsidRPr="001007F6" w:rsidSect="0069019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175A0"/>
    <w:multiLevelType w:val="multilevel"/>
    <w:tmpl w:val="BC06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96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D1"/>
    <w:rsid w:val="001007F6"/>
    <w:rsid w:val="001D3F15"/>
    <w:rsid w:val="00323CD1"/>
    <w:rsid w:val="00523628"/>
    <w:rsid w:val="005C2904"/>
    <w:rsid w:val="0069019D"/>
    <w:rsid w:val="006D4535"/>
    <w:rsid w:val="00D0527C"/>
    <w:rsid w:val="00EB0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77F537"/>
  <w15:chartTrackingRefBased/>
  <w15:docId w15:val="{28FF7B61-7A94-48C4-88FE-440C8A539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14DF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14DF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Effah Yeboah</dc:creator>
  <cp:keywords/>
  <dc:description/>
  <cp:lastModifiedBy>Richard Effah Yeboah</cp:lastModifiedBy>
  <cp:revision>2</cp:revision>
  <dcterms:created xsi:type="dcterms:W3CDTF">2026-02-03T23:00:00Z</dcterms:created>
  <dcterms:modified xsi:type="dcterms:W3CDTF">2026-02-03T23:00:00Z</dcterms:modified>
</cp:coreProperties>
</file>