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1754F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E1754F">
        <w:rPr>
          <w:b w:val="0"/>
        </w:rPr>
        <w:fldChar w:fldCharType="separate"/>
      </w:r>
      <w:hyperlink w:anchor="_Toc309343248" w:history="1">
        <w:r w:rsidR="003C6C75" w:rsidRPr="00876DAD">
          <w:rPr>
            <w:rStyle w:val="Hyperlink"/>
          </w:rPr>
          <w:t>LISTA DE FIGURAS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49" w:history="1">
        <w:r w:rsidR="003C6C75" w:rsidRPr="00876DAD">
          <w:rPr>
            <w:rStyle w:val="Hyperlink"/>
          </w:rPr>
          <w:t>LISTA DE TABELAS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0" w:history="1">
        <w:r w:rsidR="003C6C75" w:rsidRPr="00876DAD">
          <w:rPr>
            <w:rStyle w:val="Hyperlink"/>
          </w:rPr>
          <w:t>LISTA DE SÍMBOLOS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1" w:history="1">
        <w:r w:rsidR="003C6C75" w:rsidRPr="00876DAD">
          <w:rPr>
            <w:rStyle w:val="Hyperlink"/>
          </w:rPr>
          <w:t>1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INTRODUÇÃO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2" w:history="1">
        <w:r w:rsidR="003C6C75" w:rsidRPr="00876DAD">
          <w:rPr>
            <w:rStyle w:val="Hyperlink"/>
          </w:rPr>
          <w:t>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OBJETIVO DO TRABALHO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3" w:history="1">
        <w:r w:rsidR="003C6C75" w:rsidRPr="00876DAD">
          <w:rPr>
            <w:rStyle w:val="Hyperlink"/>
          </w:rPr>
          <w:t>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JUSTIFICATIVA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4" w:history="1">
        <w:r w:rsidR="003C6C75" w:rsidRPr="00876DAD">
          <w:rPr>
            <w:rStyle w:val="Hyperlink"/>
          </w:rPr>
          <w:t>2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FUNDAMENTAÇÃO TEÓRICA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5" w:history="1">
        <w:r w:rsidR="003C6C75" w:rsidRPr="00876DAD">
          <w:rPr>
            <w:rStyle w:val="Hyperlink"/>
          </w:rPr>
          <w:t>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6" w:history="1">
        <w:r w:rsidR="003C6C75" w:rsidRPr="00876DAD">
          <w:rPr>
            <w:rStyle w:val="Hyperlink"/>
          </w:rPr>
          <w:t>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NO BRASIL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7" w:history="1">
        <w:r w:rsidR="003C6C75" w:rsidRPr="00876DAD">
          <w:rPr>
            <w:rStyle w:val="Hyperlink"/>
          </w:rPr>
          <w:t>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8" w:history="1">
        <w:r w:rsidR="003C6C75" w:rsidRPr="00876DAD">
          <w:rPr>
            <w:rStyle w:val="Hyperlink"/>
          </w:rPr>
          <w:t>2.2.1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NA INTERNET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59" w:history="1">
        <w:r w:rsidR="003C6C75" w:rsidRPr="00876DAD">
          <w:rPr>
            <w:rStyle w:val="Hyperlink"/>
          </w:rPr>
          <w:t>2.2.1.1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ESTRUTURA DAS REDES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0" w:history="1">
        <w:r w:rsidR="003C6C75" w:rsidRPr="00876DAD">
          <w:rPr>
            <w:rStyle w:val="Hyperlink"/>
          </w:rPr>
          <w:t>2.2.1.2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CATEGORIAS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1" w:history="1">
        <w:r w:rsidR="003C6C75" w:rsidRPr="00876DAD">
          <w:rPr>
            <w:rStyle w:val="Hyperlink"/>
          </w:rPr>
          <w:t>2.2.1.2.1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MICROBLOG (estilo Título 5)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2" w:history="1">
        <w:r w:rsidR="003C6C75" w:rsidRPr="00876DAD">
          <w:rPr>
            <w:rStyle w:val="Hyperlink"/>
          </w:rPr>
          <w:t>2.2.2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MÍDIA SOCIAL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3" w:history="1">
        <w:r w:rsidR="003C6C75" w:rsidRPr="00876DAD">
          <w:rPr>
            <w:rStyle w:val="Hyperlink"/>
          </w:rPr>
          <w:t>2.3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MÉTODO ÁGIL DE DESENVOLVIMENTO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4" w:history="1">
        <w:r w:rsidR="003C6C75" w:rsidRPr="00876DAD">
          <w:rPr>
            <w:rStyle w:val="Hyperlink"/>
            <w:lang w:val="en-US"/>
          </w:rPr>
          <w:t>2.3.1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ARQUITETURA MVC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5" w:history="1">
        <w:r w:rsidR="003C6C75" w:rsidRPr="00876DAD">
          <w:rPr>
            <w:rStyle w:val="Hyperlink"/>
            <w:lang w:val="en-US"/>
          </w:rPr>
          <w:t>2.3.2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FRAMEWORK RUBY ON RAILS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6" w:history="1">
        <w:r w:rsidR="003C6C75" w:rsidRPr="00876DAD">
          <w:rPr>
            <w:rStyle w:val="Hyperlink"/>
            <w:lang w:val="en-US"/>
          </w:rPr>
          <w:t>2.3.2.1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GERADORES</w:t>
        </w:r>
        <w:r w:rsidR="003C6C75" w:rsidRPr="00876DAD">
          <w:rPr>
            <w:rStyle w:val="Hyperlink"/>
            <w:lang w:val="en-US"/>
          </w:rPr>
          <w:t xml:space="preserve">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7" w:history="1">
        <w:r w:rsidR="003C6C75" w:rsidRPr="00876DAD">
          <w:rPr>
            <w:rStyle w:val="Hyperlink"/>
          </w:rPr>
          <w:t>2.3.3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68" w:history="1">
        <w:r w:rsidR="003C6C75" w:rsidRPr="00876DAD">
          <w:rPr>
            <w:rStyle w:val="Hyperlink"/>
          </w:rPr>
          <w:t>3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METODOLOGIA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9" w:history="1">
        <w:r w:rsidR="003C6C75" w:rsidRPr="00876DAD">
          <w:rPr>
            <w:rStyle w:val="Hyperlink"/>
          </w:rPr>
          <w:t>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0" w:history="1">
        <w:r w:rsidR="003C6C75" w:rsidRPr="00876DAD">
          <w:rPr>
            <w:rStyle w:val="Hyperlink"/>
          </w:rPr>
          <w:t>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MOBILE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1" w:history="1">
        <w:r w:rsidR="003C6C75" w:rsidRPr="00876DAD">
          <w:rPr>
            <w:rStyle w:val="Hyperlink"/>
          </w:rPr>
          <w:t>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2" w:history="1">
        <w:r w:rsidR="003C6C75" w:rsidRPr="00876DAD">
          <w:rPr>
            <w:rStyle w:val="Hyperlink"/>
          </w:rPr>
          <w:t>3.2.2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API DO TWITTER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3" w:history="1">
        <w:r w:rsidR="003C6C75" w:rsidRPr="00876DAD">
          <w:rPr>
            <w:rStyle w:val="Hyperlink"/>
          </w:rPr>
          <w:t>4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RESULTADOS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4" w:history="1">
        <w:r w:rsidR="003C6C75" w:rsidRPr="00876DAD">
          <w:rPr>
            <w:rStyle w:val="Hyperlink"/>
          </w:rPr>
          <w:t>5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CONCLUSÃO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5" w:history="1">
        <w:r w:rsidR="003C6C75" w:rsidRPr="00876DAD">
          <w:rPr>
            <w:rStyle w:val="Hyperlink"/>
          </w:rPr>
          <w:t>REFERÊNCIAS (estilo REFERÊNCIA)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6" w:history="1">
        <w:r w:rsidR="003C6C75" w:rsidRPr="00876DAD">
          <w:rPr>
            <w:rStyle w:val="Hyperlink"/>
          </w:rPr>
          <w:t>GLOSSÁRIO (estilo GLOSSARIO)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7" w:history="1">
        <w:r w:rsidR="003C6C75" w:rsidRPr="00876DAD">
          <w:rPr>
            <w:rStyle w:val="Hyperlink"/>
          </w:rPr>
          <w:t>APÊNDICE A (estilo APÊNDICE)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E1754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8" w:history="1">
        <w:r w:rsidR="003C6C75" w:rsidRPr="00876DAD">
          <w:rPr>
            <w:rStyle w:val="Hyperlink"/>
            <w:rFonts w:cs="Times New Roman"/>
          </w:rPr>
          <w:t>ANEXO A - ABREVIATURA DOS MESES (estilo ANEXO)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33317F" w:rsidRDefault="00E1754F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34324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1C4E85" w:rsidRDefault="00E1754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  <w:noProof/>
        </w:rPr>
        <w:fldChar w:fldCharType="begin"/>
      </w:r>
      <w:r w:rsidR="00402370">
        <w:rPr>
          <w:rFonts w:cs="Arial"/>
          <w:b/>
          <w:noProof/>
        </w:rPr>
        <w:instrText xml:space="preserve"> TOC \h \z \t "FIGURA;1" \c "Figura" </w:instrText>
      </w:r>
      <w:r>
        <w:rPr>
          <w:rFonts w:cs="Arial"/>
          <w:b/>
          <w:noProof/>
        </w:rPr>
        <w:fldChar w:fldCharType="separate"/>
      </w:r>
      <w:hyperlink w:anchor="_Toc309429844" w:history="1">
        <w:r w:rsidR="001C4E85" w:rsidRPr="003870BF">
          <w:rPr>
            <w:rStyle w:val="Hyperlink"/>
            <w:noProof/>
          </w:rPr>
          <w:t>Figura 2.1. Diagramas das Redes. Fonte: Paul Baran (1964)</w:t>
        </w:r>
        <w:r w:rsidR="001C4E85">
          <w:rPr>
            <w:noProof/>
            <w:webHidden/>
          </w:rPr>
          <w:tab/>
        </w:r>
        <w:r w:rsidR="001C4E85">
          <w:rPr>
            <w:noProof/>
            <w:webHidden/>
          </w:rPr>
          <w:fldChar w:fldCharType="begin"/>
        </w:r>
        <w:r w:rsidR="001C4E85">
          <w:rPr>
            <w:noProof/>
            <w:webHidden/>
          </w:rPr>
          <w:instrText xml:space="preserve"> PAGEREF _Toc309429844 \h </w:instrText>
        </w:r>
        <w:r w:rsidR="001C4E85">
          <w:rPr>
            <w:noProof/>
            <w:webHidden/>
          </w:rPr>
        </w:r>
        <w:r w:rsidR="001C4E85">
          <w:rPr>
            <w:noProof/>
            <w:webHidden/>
          </w:rPr>
          <w:fldChar w:fldCharType="separate"/>
        </w:r>
        <w:r w:rsidR="001C4E85">
          <w:rPr>
            <w:noProof/>
            <w:webHidden/>
          </w:rPr>
          <w:t>16</w:t>
        </w:r>
        <w:r w:rsidR="001C4E85"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45" w:history="1">
        <w:r w:rsidRPr="003870BF">
          <w:rPr>
            <w:rStyle w:val="Hyperlink"/>
            <w:noProof/>
          </w:rPr>
          <w:t>Figura 2.2. Estrutura básica de página em jQuery Mobile. Fonte: The Archer Group (2011)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46" w:history="1">
        <w:r w:rsidRPr="003870BF">
          <w:rPr>
            <w:rStyle w:val="Hyperlink"/>
            <w:noProof/>
          </w:rPr>
          <w:t>Figura 3.1. Visão geral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47" w:history="1">
        <w:r w:rsidRPr="003870BF">
          <w:rPr>
            <w:rStyle w:val="Hyperlink"/>
            <w:noProof/>
          </w:rPr>
          <w:t>Figura 3.2. Hierarquia de relacionamento entre as classes principais.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48" w:history="1">
        <w:r w:rsidRPr="003870BF">
          <w:rPr>
            <w:rStyle w:val="Hyperlink"/>
            <w:noProof/>
          </w:rPr>
          <w:t>Figura 3.3. Responsabilidade da classe por módulo.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49" w:history="1">
        <w:r w:rsidRPr="003870BF">
          <w:rPr>
            <w:rStyle w:val="Hyperlink"/>
            <w:noProof/>
          </w:rPr>
          <w:t xml:space="preserve">Figura 3.4. Diagrama das classes utilizadas pelos módulos </w:t>
        </w:r>
        <w:r w:rsidRPr="003870BF">
          <w:rPr>
            <w:rStyle w:val="Hyperlink"/>
            <w:i/>
            <w:noProof/>
          </w:rPr>
          <w:t>web</w:t>
        </w:r>
        <w:r w:rsidRPr="003870BF">
          <w:rPr>
            <w:rStyle w:val="Hyperlink"/>
            <w:noProof/>
          </w:rPr>
          <w:t xml:space="preserve"> e móvel.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50" w:history="1">
        <w:r w:rsidRPr="003870BF">
          <w:rPr>
            <w:rStyle w:val="Hyperlink"/>
            <w:noProof/>
          </w:rPr>
          <w:t>Figura 3.5. Exemplo de tela-lista de áreas.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51" w:history="1">
        <w:r w:rsidRPr="003870BF">
          <w:rPr>
            <w:rStyle w:val="Hyperlink"/>
            <w:noProof/>
          </w:rPr>
          <w:t>Figura 3.6. Exemplo de tela-lista de categorias.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52" w:history="1">
        <w:r w:rsidRPr="003870BF">
          <w:rPr>
            <w:rStyle w:val="Hyperlink"/>
            <w:noProof/>
          </w:rPr>
          <w:t>Figura 3.7. Código fonte para montagem da tela-lista de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53" w:history="1">
        <w:r w:rsidRPr="003870BF">
          <w:rPr>
            <w:rStyle w:val="Hyperlink"/>
            <w:noProof/>
          </w:rPr>
          <w:t>Figura 3.8. Exemplo de tela-lista de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C4E85" w:rsidRDefault="001C4E8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29854" w:history="1">
        <w:r w:rsidRPr="003870BF">
          <w:rPr>
            <w:rStyle w:val="Hyperlink"/>
            <w:noProof/>
          </w:rPr>
          <w:t>Figura 3.9. Sistema se comunicando com a API do Twitter.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_Toc309429854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D4936" w:rsidRPr="00113FF7" w:rsidRDefault="00E1754F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b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34324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E1754F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1754F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E1754F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1754F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E1754F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934325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34325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34325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34325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A85444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A85444">
        <w:t xml:space="preserve">. Inclusive pode-se criar </w:t>
      </w:r>
      <w:r w:rsidR="00901297">
        <w:t xml:space="preserve">um ambiente que posicione </w:t>
      </w:r>
      <w:r w:rsidR="00C126DE">
        <w:t xml:space="preserve">de forma vantajosa </w:t>
      </w:r>
      <w:r w:rsidR="00901297">
        <w:t>uma informação</w:t>
      </w:r>
      <w:r w:rsidR="00C126DE">
        <w:t>, que pode se referir a um produto. Esse posicionamento traz uma “vantagem competitiva duradoura, criando inclusive barreiras à entrada de produtos concorrentes” (REFERENCIA).</w:t>
      </w:r>
    </w:p>
    <w:p w:rsidR="006D35C9" w:rsidRPr="00C126DE" w:rsidRDefault="000F6495" w:rsidP="00C7403A">
      <w:pPr>
        <w:rPr>
          <w:strike/>
        </w:rPr>
      </w:pPr>
      <w:r w:rsidRPr="00C126DE">
        <w:rPr>
          <w:strike/>
        </w:rPr>
        <w:t>O forte investimento feito em marketing tem como objetivo principal</w:t>
      </w:r>
      <w:r w:rsidR="00601901" w:rsidRPr="00C126DE">
        <w:rPr>
          <w:strike/>
        </w:rPr>
        <w:t xml:space="preserve"> fazer com que </w:t>
      </w:r>
      <w:r w:rsidR="009D782C" w:rsidRPr="00C126DE">
        <w:rPr>
          <w:strike/>
        </w:rPr>
        <w:t>a informaç</w:t>
      </w:r>
      <w:r w:rsidR="00601901" w:rsidRPr="00C126DE">
        <w:rPr>
          <w:strike/>
        </w:rPr>
        <w:t>ão atinja</w:t>
      </w:r>
      <w:r w:rsidR="009D782C" w:rsidRPr="00C126DE">
        <w:rPr>
          <w:strike/>
        </w:rPr>
        <w:t xml:space="preserve"> o público alvo. Esse é </w:t>
      </w:r>
      <w:r w:rsidR="007553EB" w:rsidRPr="00C126DE">
        <w:rPr>
          <w:strike/>
        </w:rPr>
        <w:t>um</w:t>
      </w:r>
      <w:r w:rsidR="009D782C" w:rsidRPr="00C126DE">
        <w:rPr>
          <w:strike/>
        </w:rPr>
        <w:t xml:space="preserve"> objetivo que a maioria das empresas </w:t>
      </w:r>
      <w:proofErr w:type="gramStart"/>
      <w:r w:rsidR="009D782C" w:rsidRPr="00C126DE">
        <w:rPr>
          <w:strike/>
        </w:rPr>
        <w:t>aspiram</w:t>
      </w:r>
      <w:proofErr w:type="gramEnd"/>
      <w:r w:rsidR="009D782C" w:rsidRPr="00C126DE">
        <w:rPr>
          <w:strike/>
        </w:rPr>
        <w:t xml:space="preserve"> em comum</w:t>
      </w:r>
      <w:r w:rsidRPr="00C126DE">
        <w:rPr>
          <w:strike/>
        </w:rPr>
        <w:t xml:space="preserve"> (REFERÊNCIA)</w:t>
      </w:r>
      <w:r w:rsidR="009D782C" w:rsidRPr="00C126DE">
        <w:rPr>
          <w:strike/>
        </w:rPr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</w:t>
      </w:r>
      <w:r w:rsidR="00AD1FDC">
        <w:lastRenderedPageBreak/>
        <w:t>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</w:t>
      </w:r>
      <w:proofErr w:type="gramStart"/>
      <w:r w:rsidR="00CB5330">
        <w:t>5</w:t>
      </w:r>
      <w:proofErr w:type="gramEnd"/>
      <w:r w:rsidR="00CB5330">
        <w:t xml:space="preserve">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34325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34325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34325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34325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34325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934325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E1754F">
        <w:fldChar w:fldCharType="begin"/>
      </w:r>
      <w:r w:rsidR="00F666C9">
        <w:instrText xml:space="preserve"> REF _Ref297125170 \h </w:instrText>
      </w:r>
      <w:r w:rsidR="00E1754F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E1754F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bookmarkStart w:id="128" w:name="_Toc309429844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1</w:t>
      </w:r>
      <w:r w:rsidR="00E1754F">
        <w:fldChar w:fldCharType="end"/>
      </w:r>
      <w:bookmarkEnd w:id="127"/>
      <w:r w:rsidR="00C66FA8">
        <w:t xml:space="preserve">. Diagramas das Redes. Fonte: </w:t>
      </w:r>
      <w:r>
        <w:t>Paul Baran</w:t>
      </w:r>
      <w:r w:rsidR="003F1249">
        <w:t xml:space="preserve"> (1964)</w:t>
      </w:r>
      <w:bookmarkEnd w:id="128"/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9" w:name="_Toc30934326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9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30" w:name="_Toc30934326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30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E1754F">
        <w:fldChar w:fldCharType="begin"/>
      </w:r>
      <w:r w:rsidR="004C5D0C">
        <w:instrText xml:space="preserve"> REF _Ref304375299 \h </w:instrText>
      </w:r>
      <w:r w:rsidR="00E1754F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E1754F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1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E1754F">
        <w:fldChar w:fldCharType="begin"/>
      </w:r>
      <w:r w:rsidR="00794A98">
        <w:instrText xml:space="preserve"> SEQ Gráfico \* ARABIC \s 1 </w:instrText>
      </w:r>
      <w:r w:rsidR="00E1754F">
        <w:fldChar w:fldCharType="separate"/>
      </w:r>
      <w:r>
        <w:rPr>
          <w:noProof/>
        </w:rPr>
        <w:t>1</w:t>
      </w:r>
      <w:r w:rsidR="00E1754F">
        <w:fldChar w:fldCharType="end"/>
      </w:r>
      <w:bookmarkEnd w:id="131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2" w:name="_Toc30934326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2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3" w:name="_Toc30934326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3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4" w:name="_Toc309343264"/>
      <w:r>
        <w:rPr>
          <w:lang w:val="en-US"/>
        </w:rPr>
        <w:lastRenderedPageBreak/>
        <w:t>ARQUITETURA MVC</w:t>
      </w:r>
      <w:bookmarkEnd w:id="134"/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5" w:name="_Toc309343265"/>
      <w:r w:rsidRPr="00F5513C">
        <w:rPr>
          <w:lang w:val="en-US"/>
        </w:rPr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5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6" w:name="_Toc309343266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6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7" w:name="_Toc309343267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7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59516C">
        <w:rPr>
          <w:i/>
        </w:rPr>
        <w:t>Mobile</w:t>
      </w:r>
      <w:r w:rsidR="00C7454A">
        <w:t xml:space="preserve">. O exemplo é mostrado pela </w:t>
      </w:r>
      <w:r w:rsidR="00E1754F">
        <w:fldChar w:fldCharType="begin"/>
      </w:r>
      <w:r w:rsidR="00C7454A">
        <w:instrText xml:space="preserve"> REF _Ref298966957 \h </w:instrText>
      </w:r>
      <w:r w:rsidR="00E1754F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E1754F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8" w:name="_Ref298966957"/>
      <w:bookmarkStart w:id="139" w:name="_Toc309429845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2</w:t>
      </w:r>
      <w:r w:rsidR="00E1754F">
        <w:fldChar w:fldCharType="end"/>
      </w:r>
      <w:bookmarkEnd w:id="138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  <w:bookmarkEnd w:id="139"/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40" w:name="_Toc309343268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40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E1754F">
        <w:fldChar w:fldCharType="begin"/>
      </w:r>
      <w:r w:rsidR="003E739A">
        <w:instrText xml:space="preserve"> REF _Ref306131481 \h </w:instrText>
      </w:r>
      <w:r w:rsidR="00E1754F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E1754F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41" w:name="_Ref306131481"/>
      <w:bookmarkStart w:id="142" w:name="_Toc309429846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1</w:t>
      </w:r>
      <w:r w:rsidR="00E1754F">
        <w:fldChar w:fldCharType="end"/>
      </w:r>
      <w:bookmarkEnd w:id="141"/>
      <w:r>
        <w:t>. Visão geral do projeto</w:t>
      </w:r>
      <w:r w:rsidR="004C4246">
        <w:t>.</w:t>
      </w:r>
      <w:bookmarkEnd w:id="142"/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3" w:name="_Toc309343269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43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E1754F">
        <w:fldChar w:fldCharType="begin"/>
      </w:r>
      <w:r w:rsidR="00E83E47">
        <w:instrText xml:space="preserve"> REF _Ref309201727 \h </w:instrText>
      </w:r>
      <w:r w:rsidR="00E1754F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E1754F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4" w:name="_Ref309201727"/>
      <w:bookmarkStart w:id="145" w:name="_Toc309429847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2</w:t>
      </w:r>
      <w:r w:rsidR="00E1754F">
        <w:fldChar w:fldCharType="end"/>
      </w:r>
      <w:bookmarkEnd w:id="144"/>
      <w:r>
        <w:t>. Hierarquia de relacionamento entre as classes principais</w:t>
      </w:r>
      <w:r w:rsidR="004C4246">
        <w:t>.</w:t>
      </w:r>
      <w:bookmarkEnd w:id="145"/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E1754F">
        <w:fldChar w:fldCharType="begin"/>
      </w:r>
      <w:r w:rsidR="003C50B1">
        <w:instrText xml:space="preserve"> REF _Ref309339228 \h </w:instrText>
      </w:r>
      <w:r w:rsidR="00E1754F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E1754F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6" w:name="_Ref309339228"/>
      <w:bookmarkStart w:id="147" w:name="_Toc309429848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3</w:t>
      </w:r>
      <w:r w:rsidR="00E1754F">
        <w:fldChar w:fldCharType="end"/>
      </w:r>
      <w:bookmarkEnd w:id="146"/>
      <w:r>
        <w:t xml:space="preserve">. </w:t>
      </w:r>
      <w:r w:rsidRPr="00BC3CAB">
        <w:t>Responsabilidade da classe por módulo</w:t>
      </w:r>
      <w:r w:rsidR="004C4246">
        <w:t>.</w:t>
      </w:r>
      <w:bookmarkEnd w:id="147"/>
    </w:p>
    <w:p w:rsidR="00952294" w:rsidRDefault="00952294" w:rsidP="0075798A"/>
    <w:p w:rsidR="00824F3C" w:rsidRDefault="003E7A87" w:rsidP="00824F3C">
      <w:r>
        <w:t xml:space="preserve">Basicamente para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</w:t>
      </w:r>
      <w:proofErr w:type="gramStart"/>
      <w:r>
        <w:t>é</w:t>
      </w:r>
      <w:proofErr w:type="gramEnd"/>
      <w:r>
        <w:t xml:space="preserve">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faz a manutenção dos dados com base nas classes e o móvel faz a leitura dos dados das mesmas, montando as telas de lista.</w:t>
      </w:r>
      <w:r w:rsidR="008254C8">
        <w:t xml:space="preserve"> A </w:t>
      </w:r>
      <w:r w:rsidR="00E1754F">
        <w:fldChar w:fldCharType="begin"/>
      </w:r>
      <w:r w:rsidR="008254C8">
        <w:instrText xml:space="preserve"> REF _Ref309386773 \h </w:instrText>
      </w:r>
      <w:r w:rsidR="00E1754F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4</w:t>
      </w:r>
      <w:r w:rsidR="00E1754F">
        <w:fldChar w:fldCharType="end"/>
      </w:r>
      <w:r w:rsidR="008254C8">
        <w:t xml:space="preserve"> representa o diagrama das</w:t>
      </w:r>
      <w:r w:rsidR="003873AD">
        <w:t xml:space="preserve"> classes </w:t>
      </w:r>
      <w:r w:rsidR="008254C8">
        <w:t>citadas</w:t>
      </w:r>
      <w:r w:rsidR="003873AD">
        <w:t>:</w:t>
      </w:r>
    </w:p>
    <w:p w:rsidR="008254C8" w:rsidRDefault="008254C8" w:rsidP="008254C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3864610"/>
            <wp:effectExtent l="0" t="0" r="0" b="0"/>
            <wp:docPr id="2" name="Imagem 1" descr="diagrama_clas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D" w:rsidRDefault="008254C8" w:rsidP="008254C8">
      <w:pPr>
        <w:pStyle w:val="Legenda"/>
      </w:pPr>
      <w:bookmarkStart w:id="148" w:name="_Ref309386773"/>
      <w:bookmarkStart w:id="149" w:name="_Toc309429849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>
        <w:rPr>
          <w:noProof/>
        </w:rPr>
        <w:t>4</w:t>
      </w:r>
      <w:r w:rsidR="00E1754F">
        <w:fldChar w:fldCharType="end"/>
      </w:r>
      <w:bookmarkEnd w:id="148"/>
      <w:r>
        <w:t>.</w:t>
      </w:r>
      <w:r>
        <w:rPr>
          <w:noProof/>
        </w:rPr>
        <w:t xml:space="preserve"> Diagrama das classes utilizadas pelos módulos </w:t>
      </w:r>
      <w:r w:rsidRPr="008254C8">
        <w:rPr>
          <w:i/>
          <w:noProof/>
        </w:rPr>
        <w:t>web</w:t>
      </w:r>
      <w:r>
        <w:rPr>
          <w:noProof/>
        </w:rPr>
        <w:t xml:space="preserve"> e móvel</w:t>
      </w:r>
      <w:r w:rsidR="004C4246">
        <w:rPr>
          <w:noProof/>
        </w:rPr>
        <w:t>.</w:t>
      </w:r>
      <w:bookmarkEnd w:id="149"/>
    </w:p>
    <w:p w:rsidR="008254C8" w:rsidRDefault="008254C8" w:rsidP="0075798A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20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</w:t>
      </w:r>
      <w:r>
        <w:lastRenderedPageBreak/>
        <w:t xml:space="preserve">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50" w:name="_Toc309343270"/>
      <w:r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5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1" w:name="_Toc309429850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5</w:t>
      </w:r>
      <w:r w:rsidR="00E1754F">
        <w:fldChar w:fldCharType="end"/>
      </w:r>
      <w:r>
        <w:t>. Exemplo de tela-lista de áreas</w:t>
      </w:r>
      <w:r w:rsidR="004C4246">
        <w:t>.</w:t>
      </w:r>
      <w:bookmarkEnd w:id="151"/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 w:rsidR="00E1754F">
        <w:fldChar w:fldCharType="begin"/>
      </w:r>
      <w:r>
        <w:instrText xml:space="preserve"> REF _Ref309341321 \h </w:instrText>
      </w:r>
      <w:r w:rsidR="00E1754F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6</w:t>
      </w:r>
      <w:r w:rsidR="00E1754F"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2" w:name="_Ref309341321"/>
      <w:bookmarkStart w:id="153" w:name="_Toc309429851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6</w:t>
      </w:r>
      <w:r w:rsidR="00E1754F">
        <w:fldChar w:fldCharType="end"/>
      </w:r>
      <w:bookmarkEnd w:id="152"/>
      <w:r>
        <w:t>. Exemplo de tela-lista de categorias</w:t>
      </w:r>
      <w:r w:rsidR="004C4246">
        <w:t>.</w:t>
      </w:r>
      <w:bookmarkEnd w:id="153"/>
    </w:p>
    <w:p w:rsidR="00473B40" w:rsidRDefault="00473B40" w:rsidP="00870CAC"/>
    <w:p w:rsidR="00870CAC" w:rsidRDefault="00870CAC" w:rsidP="00870CAC">
      <w:pPr>
        <w:pStyle w:val="Ttulo3"/>
      </w:pPr>
      <w:bookmarkStart w:id="154" w:name="_Toc309343271"/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  <w:bookmarkEnd w:id="154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  <w:r w:rsidR="001D6804">
        <w:t xml:space="preserve"> A </w:t>
      </w:r>
      <w:r w:rsidR="00E1754F">
        <w:fldChar w:fldCharType="begin"/>
      </w:r>
      <w:r w:rsidR="001D6804">
        <w:instrText xml:space="preserve"> REF _Ref309342269 \h </w:instrText>
      </w:r>
      <w:r w:rsidR="00E1754F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7</w:t>
      </w:r>
      <w:r w:rsidR="00E1754F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proofErr w:type="spellStart"/>
      <w:r w:rsidR="00CB0F4D" w:rsidRPr="00CB0F4D">
        <w:rPr>
          <w:i/>
        </w:rPr>
        <w:t>view</w:t>
      </w:r>
      <w:proofErr w:type="spellEnd"/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55" w:name="_Ref309342269"/>
      <w:bookmarkStart w:id="156" w:name="_Toc309429852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7</w:t>
      </w:r>
      <w:r w:rsidR="00E1754F">
        <w:fldChar w:fldCharType="end"/>
      </w:r>
      <w:bookmarkEnd w:id="155"/>
      <w:r>
        <w:t>. Código fonte para montagem da tela-lista de perfil</w:t>
      </w:r>
      <w:r w:rsidR="004C4246">
        <w:t>.</w:t>
      </w:r>
      <w:bookmarkEnd w:id="156"/>
    </w:p>
    <w:p w:rsidR="001D6804" w:rsidRDefault="001D6804" w:rsidP="001D6804"/>
    <w:p w:rsidR="001D6804" w:rsidRDefault="001D6804" w:rsidP="001D6804">
      <w:r>
        <w:t xml:space="preserve">Como resultado, a </w:t>
      </w:r>
      <w:r w:rsidR="00E1754F">
        <w:fldChar w:fldCharType="begin"/>
      </w:r>
      <w:r w:rsidR="00CB0F4D">
        <w:instrText xml:space="preserve"> REF _Ref309342570 \h </w:instrText>
      </w:r>
      <w:r w:rsidR="00E1754F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8</w:t>
      </w:r>
      <w:r w:rsidR="00E1754F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57" w:name="_Ref309342570"/>
      <w:bookmarkStart w:id="158" w:name="_Toc309429853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8</w:t>
      </w:r>
      <w:r w:rsidR="00E1754F">
        <w:fldChar w:fldCharType="end"/>
      </w:r>
      <w:bookmarkEnd w:id="157"/>
      <w:r>
        <w:t>. Exemplo de tela-lista de perfil</w:t>
      </w:r>
      <w:r w:rsidR="004C4246">
        <w:rPr>
          <w:noProof/>
        </w:rPr>
        <w:t>.</w:t>
      </w:r>
      <w:bookmarkEnd w:id="158"/>
    </w:p>
    <w:p w:rsidR="001D6804" w:rsidRDefault="001D6804" w:rsidP="00CB0F4D"/>
    <w:p w:rsidR="00870CAC" w:rsidRDefault="00870CAC" w:rsidP="00870CAC">
      <w:pPr>
        <w:pStyle w:val="Ttulo3"/>
      </w:pPr>
      <w:bookmarkStart w:id="159" w:name="_Toc309343272"/>
      <w:r>
        <w:t xml:space="preserve">API DO TWITTER (estilo Título </w:t>
      </w:r>
      <w:proofErr w:type="gramStart"/>
      <w:r>
        <w:t>3</w:t>
      </w:r>
      <w:proofErr w:type="gramEnd"/>
      <w:r>
        <w:t>)</w:t>
      </w:r>
      <w:bookmarkEnd w:id="159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2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lastRenderedPageBreak/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E1754F">
        <w:fldChar w:fldCharType="begin"/>
      </w:r>
      <w:r w:rsidR="00005F28">
        <w:instrText xml:space="preserve"> REF _Ref306663385 \h </w:instrText>
      </w:r>
      <w:r w:rsidR="00E1754F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9</w:t>
      </w:r>
      <w:r w:rsidR="00E1754F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60" w:name="_Ref306663385"/>
      <w:bookmarkStart w:id="161" w:name="_Toc309429854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E1754F">
        <w:fldChar w:fldCharType="begin"/>
      </w:r>
      <w:r w:rsidR="006B649D">
        <w:instrText xml:space="preserve"> SEQ Figura \* ARABIC \s 1 </w:instrText>
      </w:r>
      <w:r w:rsidR="00E1754F">
        <w:fldChar w:fldCharType="separate"/>
      </w:r>
      <w:r w:rsidR="008254C8">
        <w:rPr>
          <w:noProof/>
        </w:rPr>
        <w:t>9</w:t>
      </w:r>
      <w:r w:rsidR="00E1754F">
        <w:fldChar w:fldCharType="end"/>
      </w:r>
      <w:bookmarkEnd w:id="160"/>
      <w:r>
        <w:t xml:space="preserve">. Sistema se comunicando com a API do </w:t>
      </w:r>
      <w:proofErr w:type="spellStart"/>
      <w:r>
        <w:t>Twitter</w:t>
      </w:r>
      <w:proofErr w:type="spellEnd"/>
      <w:r w:rsidR="004C4246">
        <w:t>.</w:t>
      </w:r>
      <w:bookmarkEnd w:id="161"/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62" w:name="_Toc30934327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63" w:name="_Toc144288083"/>
      <w:bookmarkStart w:id="164" w:name="_Toc144614336"/>
      <w:bookmarkStart w:id="165" w:name="_Toc144614584"/>
      <w:bookmarkStart w:id="166" w:name="_Toc144627063"/>
      <w:bookmarkStart w:id="167" w:name="_Toc144630242"/>
      <w:bookmarkStart w:id="168" w:name="_Toc144691039"/>
      <w:bookmarkStart w:id="169" w:name="_Toc144691510"/>
      <w:bookmarkStart w:id="170" w:name="_Toc144692261"/>
      <w:bookmarkEnd w:id="162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71" w:name="_Toc144614347"/>
      <w:bookmarkStart w:id="172" w:name="_Toc144614594"/>
      <w:bookmarkStart w:id="173" w:name="_Toc144627073"/>
      <w:bookmarkStart w:id="174" w:name="_Toc144630252"/>
      <w:bookmarkStart w:id="175" w:name="_Toc144691052"/>
      <w:bookmarkStart w:id="176" w:name="_Toc144691520"/>
      <w:bookmarkStart w:id="177" w:name="_Toc144692271"/>
      <w:bookmarkStart w:id="178" w:name="_Toc144805843"/>
      <w:bookmarkStart w:id="179" w:name="_Toc144807464"/>
      <w:bookmarkStart w:id="180" w:name="_Toc144811475"/>
      <w:bookmarkStart w:id="181" w:name="_Toc144812020"/>
      <w:bookmarkStart w:id="182" w:name="_Toc144812363"/>
      <w:bookmarkStart w:id="183" w:name="_Toc149724332"/>
      <w:bookmarkStart w:id="184" w:name="_Toc150052731"/>
      <w:bookmarkStart w:id="185" w:name="_Toc150053222"/>
      <w:bookmarkStart w:id="186" w:name="_Toc150053989"/>
      <w:bookmarkStart w:id="187" w:name="_Toc150054445"/>
      <w:bookmarkStart w:id="188" w:name="_Toc150054648"/>
      <w:bookmarkStart w:id="189" w:name="_Toc150054863"/>
      <w:bookmarkStart w:id="190" w:name="_Toc156710937"/>
      <w:bookmarkStart w:id="191" w:name="_Toc156712246"/>
      <w:bookmarkStart w:id="192" w:name="_Toc167274013"/>
      <w:bookmarkStart w:id="193" w:name="_Toc167274180"/>
      <w:bookmarkStart w:id="194" w:name="_Toc167274308"/>
      <w:bookmarkStart w:id="195" w:name="_Toc198716027"/>
      <w:bookmarkStart w:id="196" w:name="_Toc198716144"/>
      <w:bookmarkStart w:id="197" w:name="_Toc221345537"/>
      <w:bookmarkStart w:id="198" w:name="_Toc222801067"/>
      <w:bookmarkStart w:id="199" w:name="_Toc232224856"/>
      <w:bookmarkStart w:id="200" w:name="_Toc232225035"/>
      <w:bookmarkStart w:id="201" w:name="_Toc309343274"/>
      <w:r w:rsidRPr="00113FF7">
        <w:lastRenderedPageBreak/>
        <w:t>CONCLUSÃO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201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proofErr w:type="spellStart"/>
      <w:r w:rsidR="0064267B" w:rsidRPr="0064267B">
        <w:rPr>
          <w:i/>
        </w:rPr>
        <w:t>posts</w:t>
      </w:r>
      <w:proofErr w:type="spellEnd"/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</w:t>
      </w:r>
      <w:proofErr w:type="spellStart"/>
      <w:r w:rsidR="0064267B">
        <w:t>Twitter</w:t>
      </w:r>
      <w:proofErr w:type="spellEnd"/>
      <w:r w:rsidR="0064267B">
        <w:t xml:space="preserve">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202" w:name="_REFERÊNCIAS_BIBLIOGRÁFICAS"/>
      <w:bookmarkStart w:id="203" w:name="_Toc143669284"/>
      <w:bookmarkStart w:id="204" w:name="_Toc144003460"/>
      <w:bookmarkStart w:id="205" w:name="_Toc144004110"/>
      <w:bookmarkStart w:id="206" w:name="_Toc144004164"/>
      <w:bookmarkStart w:id="207" w:name="_Toc144004613"/>
      <w:bookmarkStart w:id="208" w:name="_Toc144288100"/>
      <w:bookmarkStart w:id="209" w:name="_Toc144288597"/>
      <w:bookmarkStart w:id="210" w:name="_Toc144609689"/>
      <w:bookmarkStart w:id="211" w:name="_Toc144614348"/>
      <w:bookmarkStart w:id="212" w:name="_Toc144614595"/>
      <w:bookmarkStart w:id="213" w:name="_Toc144627074"/>
      <w:bookmarkStart w:id="214" w:name="_Toc144630253"/>
      <w:bookmarkStart w:id="215" w:name="_Toc144691053"/>
      <w:bookmarkStart w:id="216" w:name="_Toc144691521"/>
      <w:bookmarkStart w:id="217" w:name="_Toc144692272"/>
      <w:bookmarkStart w:id="218" w:name="_Toc144805844"/>
      <w:bookmarkStart w:id="219" w:name="_Toc149724145"/>
      <w:bookmarkStart w:id="220" w:name="_Toc149724333"/>
      <w:bookmarkStart w:id="221" w:name="_Toc150052732"/>
      <w:bookmarkStart w:id="222" w:name="_Toc150053223"/>
      <w:bookmarkStart w:id="223" w:name="_Toc150053990"/>
      <w:bookmarkStart w:id="224" w:name="_Toc150054446"/>
      <w:bookmarkStart w:id="225" w:name="_Toc150054649"/>
      <w:bookmarkStart w:id="226" w:name="_Toc150054864"/>
      <w:bookmarkStart w:id="227" w:name="_Toc151433549"/>
      <w:bookmarkStart w:id="228" w:name="_Toc151434320"/>
      <w:bookmarkEnd w:id="202"/>
    </w:p>
    <w:p w:rsidR="003354B5" w:rsidRPr="00113FF7" w:rsidRDefault="00B26EA1" w:rsidP="0043393D">
      <w:pPr>
        <w:pStyle w:val="REFERNCIA"/>
      </w:pPr>
      <w:bookmarkStart w:id="229" w:name="_Toc152395091"/>
      <w:bookmarkStart w:id="230" w:name="_Toc156710938"/>
      <w:bookmarkStart w:id="231" w:name="_Toc156712247"/>
      <w:bookmarkStart w:id="232" w:name="_Toc167274014"/>
      <w:bookmarkStart w:id="233" w:name="_Toc167274181"/>
      <w:bookmarkStart w:id="234" w:name="_Toc167274309"/>
      <w:bookmarkStart w:id="235" w:name="_Toc198716028"/>
      <w:bookmarkStart w:id="236" w:name="_Toc198716145"/>
      <w:bookmarkStart w:id="237" w:name="_Toc222801068"/>
      <w:bookmarkStart w:id="238" w:name="_Toc232224857"/>
      <w:bookmarkStart w:id="239" w:name="_Toc232225036"/>
      <w:bookmarkStart w:id="240" w:name="_Toc309343275"/>
      <w:r w:rsidRPr="00113FF7">
        <w:lastRenderedPageBreak/>
        <w:t>R</w:t>
      </w:r>
      <w:r w:rsidR="005D0E47" w:rsidRPr="00113FF7">
        <w:t>EFERÊNCIAS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 w:rsidR="00EA2B91">
        <w:t xml:space="preserve"> (estilo REFER</w:t>
      </w:r>
      <w:r w:rsidR="00AD5D5F">
        <w:t>Ê</w:t>
      </w:r>
      <w:r w:rsidR="00EA2B91">
        <w:t>NCIA)</w:t>
      </w:r>
      <w:bookmarkEnd w:id="240"/>
    </w:p>
    <w:bookmarkStart w:id="241" w:name="_Toc144630254"/>
    <w:bookmarkStart w:id="242" w:name="_Toc144691054"/>
    <w:bookmarkStart w:id="243" w:name="_Toc144691522"/>
    <w:bookmarkStart w:id="244" w:name="_Toc144692273"/>
    <w:bookmarkStart w:id="245" w:name="_Toc144805848"/>
    <w:bookmarkStart w:id="246" w:name="_Toc149724148"/>
    <w:bookmarkStart w:id="247" w:name="_Toc149724336"/>
    <w:bookmarkStart w:id="248" w:name="_Toc150052735"/>
    <w:bookmarkStart w:id="249" w:name="_Toc150053226"/>
    <w:bookmarkStart w:id="250" w:name="_Toc150053993"/>
    <w:bookmarkStart w:id="251" w:name="_Toc150054449"/>
    <w:bookmarkStart w:id="252" w:name="_Toc150054652"/>
    <w:bookmarkStart w:id="253" w:name="_Toc150054866"/>
    <w:bookmarkStart w:id="254" w:name="_Toc151433551"/>
    <w:bookmarkStart w:id="255" w:name="_Toc151434322"/>
    <w:bookmarkStart w:id="256" w:name="_Toc143669286"/>
    <w:bookmarkStart w:id="257" w:name="_Toc144003462"/>
    <w:bookmarkStart w:id="258" w:name="_Toc144004112"/>
    <w:bookmarkStart w:id="259" w:name="_Toc144004166"/>
    <w:bookmarkStart w:id="260" w:name="_Toc144004615"/>
    <w:bookmarkStart w:id="261" w:name="_Toc144288102"/>
    <w:bookmarkStart w:id="262" w:name="_Toc144288599"/>
    <w:bookmarkStart w:id="263" w:name="_Toc144544687"/>
    <w:bookmarkStart w:id="264" w:name="_Toc144545423"/>
    <w:bookmarkStart w:id="265" w:name="_Toc144609690"/>
    <w:bookmarkStart w:id="266" w:name="_Toc144614349"/>
    <w:bookmarkStart w:id="267" w:name="_Toc144614596"/>
    <w:p w:rsidR="005B5A4B" w:rsidRDefault="00E1754F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E1754F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68" w:name="_Toc309343276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68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69" w:name="_Toc156710940"/>
      <w:bookmarkStart w:id="270" w:name="_Toc156712249"/>
      <w:bookmarkStart w:id="271" w:name="_Toc167274016"/>
      <w:bookmarkStart w:id="272" w:name="_Toc167274183"/>
      <w:bookmarkStart w:id="273" w:name="_Toc167274311"/>
      <w:bookmarkStart w:id="274" w:name="_Toc198716030"/>
      <w:bookmarkStart w:id="275" w:name="_Toc198716146"/>
      <w:bookmarkStart w:id="276" w:name="_Toc221345538"/>
      <w:bookmarkStart w:id="277" w:name="_Toc222801070"/>
      <w:bookmarkStart w:id="278" w:name="_Toc232224859"/>
      <w:bookmarkStart w:id="279" w:name="_Toc232225038"/>
      <w:bookmarkStart w:id="280" w:name="_Toc309343277"/>
      <w:r w:rsidRPr="00113FF7">
        <w:lastRenderedPageBreak/>
        <w:t>APÊNDICE</w:t>
      </w:r>
      <w:bookmarkStart w:id="281" w:name="_Toc144805849"/>
      <w:bookmarkStart w:id="282" w:name="_Toc149724149"/>
      <w:bookmarkStart w:id="283" w:name="_Toc149724337"/>
      <w:bookmarkStart w:id="284" w:name="_Toc150052736"/>
      <w:bookmarkStart w:id="285" w:name="_Toc150053227"/>
      <w:bookmarkStart w:id="286" w:name="_Toc150053994"/>
      <w:bookmarkStart w:id="287" w:name="_Toc150054450"/>
      <w:bookmarkStart w:id="288" w:name="_Toc150054653"/>
      <w:bookmarkStart w:id="289" w:name="_Toc150054867"/>
      <w:bookmarkStart w:id="290" w:name="_Toc151433552"/>
      <w:bookmarkStart w:id="291" w:name="_Toc151434323"/>
      <w:bookmarkStart w:id="292" w:name="_Toc156011591"/>
      <w:bookmarkStart w:id="293" w:name="_Toc156278440"/>
      <w:bookmarkStart w:id="294" w:name="_Toc156710941"/>
      <w:bookmarkStart w:id="295" w:name="_Toc15671225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69"/>
      <w:bookmarkEnd w:id="270"/>
      <w:r w:rsidR="0043393D">
        <w:t xml:space="preserve"> </w:t>
      </w:r>
      <w:r w:rsidR="004060D9" w:rsidRPr="00113FF7">
        <w:t>A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r w:rsidR="00EA2B91">
        <w:t xml:space="preserve"> (estilo AP</w:t>
      </w:r>
      <w:r w:rsidR="00AD5D5F">
        <w:t>Ê</w:t>
      </w:r>
      <w:r w:rsidR="00EA2B91">
        <w:t>NDICE)</w:t>
      </w:r>
      <w:bookmarkEnd w:id="280"/>
    </w:p>
    <w:p w:rsidR="002874E0" w:rsidRPr="00113FF7" w:rsidRDefault="002874E0" w:rsidP="007E6AEB">
      <w:bookmarkStart w:id="296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96"/>
      <w:r w:rsidR="0043393D">
        <w:t xml:space="preserve"> e contem textos explicativos que não fazem parte do texto da monografia mas que foi elaborado pelo autor,.</w:t>
      </w:r>
    </w:p>
    <w:p w:rsidR="00FF5E8E" w:rsidRPr="00113FF7" w:rsidRDefault="002874E0" w:rsidP="00432791">
      <w:r w:rsidRPr="00113FF7">
        <w:t>A resolução das figuras de qualquer p</w:t>
      </w:r>
      <w:r w:rsidR="00E90567" w:rsidRPr="00113FF7">
        <w:t>ublicação deve ser baixa, de forma a serem lidas em qualquer tipo de rede, sem muita demora.</w:t>
      </w:r>
      <w:r w:rsidR="00FF5E8E">
        <w:t xml:space="preserve">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297" w:name="_Toc309343278"/>
      <w:bookmarkStart w:id="298" w:name="_Toc144609691"/>
      <w:bookmarkStart w:id="299" w:name="_Toc144614351"/>
      <w:bookmarkStart w:id="300" w:name="_Toc144614598"/>
      <w:bookmarkStart w:id="301" w:name="_Toc144630262"/>
      <w:bookmarkStart w:id="302" w:name="_Toc144691065"/>
      <w:bookmarkStart w:id="303" w:name="_Toc144691529"/>
      <w:bookmarkStart w:id="304" w:name="_Toc144692280"/>
      <w:bookmarkStart w:id="305" w:name="_Toc144805854"/>
      <w:bookmarkStart w:id="306" w:name="_Toc149724155"/>
      <w:bookmarkStart w:id="307" w:name="_Toc149724343"/>
      <w:bookmarkStart w:id="308" w:name="_Toc150052742"/>
      <w:bookmarkStart w:id="309" w:name="_Toc150053230"/>
      <w:bookmarkStart w:id="310" w:name="_Toc150054000"/>
      <w:bookmarkStart w:id="311" w:name="_Toc150054453"/>
      <w:bookmarkStart w:id="312" w:name="_Toc150054659"/>
      <w:bookmarkStart w:id="313" w:name="_Toc150054873"/>
      <w:bookmarkStart w:id="314" w:name="_Toc151433565"/>
      <w:bookmarkStart w:id="315" w:name="_Toc151434334"/>
      <w:bookmarkStart w:id="316" w:name="_Toc156710950"/>
      <w:bookmarkStart w:id="317" w:name="_Toc156712259"/>
      <w:bookmarkStart w:id="318" w:name="_Toc167274023"/>
      <w:bookmarkStart w:id="319" w:name="_Toc167274193"/>
      <w:bookmarkStart w:id="320" w:name="_Toc167274318"/>
      <w:bookmarkStart w:id="321" w:name="_Toc198716037"/>
      <w:bookmarkStart w:id="322" w:name="_Toc198716153"/>
      <w:bookmarkStart w:id="323" w:name="_Toc221345545"/>
      <w:bookmarkStart w:id="324" w:name="_Toc222801077"/>
      <w:bookmarkStart w:id="325" w:name="_Toc232224868"/>
      <w:bookmarkStart w:id="326" w:name="_Toc232225047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 w:rsidR="00EA2B91">
        <w:rPr>
          <w:rFonts w:cs="Times New Roman"/>
        </w:rPr>
        <w:t xml:space="preserve"> (estilo ANEXO)</w:t>
      </w:r>
      <w:bookmarkEnd w:id="297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7"/>
      <w:footerReference w:type="default" r:id="rId28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A69" w:rsidRDefault="00014A69">
      <w:r>
        <w:separator/>
      </w:r>
    </w:p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</w:endnote>
  <w:endnote w:type="continuationSeparator" w:id="0">
    <w:p w:rsidR="00014A69" w:rsidRDefault="00014A69">
      <w:r>
        <w:continuationSeparator/>
      </w:r>
    </w:p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3D06" w:rsidRDefault="00C83D0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C83D06" w:rsidRPr="00A11DEE" w:rsidRDefault="00C83D06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Pr="00D412F2" w:rsidRDefault="00C83D06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1C4E85">
      <w:rPr>
        <w:rStyle w:val="Nmerodepgina"/>
        <w:noProof/>
      </w:rPr>
      <w:t>5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4E85">
      <w:rPr>
        <w:rStyle w:val="Nmerodepgina"/>
        <w:noProof/>
      </w:rPr>
      <w:t>43</w:t>
    </w:r>
    <w:r>
      <w:rPr>
        <w:rStyle w:val="Nmerodepgina"/>
      </w:rPr>
      <w:fldChar w:fldCharType="end"/>
    </w:r>
  </w:p>
  <w:p w:rsidR="00C83D06" w:rsidRPr="00743538" w:rsidRDefault="00C83D06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A69" w:rsidRDefault="00014A69">
      <w:r>
        <w:separator/>
      </w:r>
    </w:p>
    <w:p w:rsidR="00014A69" w:rsidRDefault="00014A69"/>
  </w:footnote>
  <w:footnote w:type="continuationSeparator" w:id="0">
    <w:p w:rsidR="00014A69" w:rsidRDefault="00014A69">
      <w:r>
        <w:continuationSeparator/>
      </w:r>
    </w:p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</w:footnote>
  <w:footnote w:type="continuationNotice" w:id="1"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  <w:p w:rsidR="00014A69" w:rsidRDefault="00014A69"/>
  </w:footnote>
  <w:footnote w:id="2">
    <w:p w:rsidR="00C83D06" w:rsidRDefault="00C83D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 xml:space="preserve">A API do </w:t>
      </w:r>
      <w:proofErr w:type="spellStart"/>
      <w:r w:rsidRPr="003E338D">
        <w:t>Twit</w:t>
      </w:r>
      <w:r>
        <w:t>t</w:t>
      </w:r>
      <w:r w:rsidRPr="003E338D">
        <w:t>er</w:t>
      </w:r>
      <w:proofErr w:type="spellEnd"/>
      <w:r w:rsidRPr="003E338D">
        <w:t xml:space="preserve">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</w:t>
      </w:r>
      <w:proofErr w:type="spellStart"/>
      <w:r w:rsidRPr="003E338D">
        <w:t>Utilzou-s</w:t>
      </w:r>
      <w:r>
        <w:t>e</w:t>
      </w:r>
      <w:proofErr w:type="spellEnd"/>
      <w:r>
        <w:t xml:space="preserve">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3977958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6802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A6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4E85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370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791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57D08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246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55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4B8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649D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54C8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297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1F87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6A8F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44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6DE"/>
    <w:rsid w:val="00C12A0E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66FA8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D06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1754F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33C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341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4E4C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plataformatec/devi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579492F1-0224-41DD-9A5C-24046193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7730</TotalTime>
  <Pages>43</Pages>
  <Words>8188</Words>
  <Characters>44218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52302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435</cp:revision>
  <cp:lastPrinted>2009-06-08T15:02:00Z</cp:lastPrinted>
  <dcterms:created xsi:type="dcterms:W3CDTF">2011-06-21T16:20:00Z</dcterms:created>
  <dcterms:modified xsi:type="dcterms:W3CDTF">2011-11-19T03:35:00Z</dcterms:modified>
</cp:coreProperties>
</file>