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136E99">
      <w:pPr>
        <w:pStyle w:val="Sumrio1"/>
        <w:rPr>
          <w:rFonts w:asciiTheme="minorHAnsi" w:eastAsiaTheme="minorEastAsia" w:hAnsiTheme="minorHAnsi" w:cstheme="minorBidi"/>
          <w:b w:val="0"/>
          <w:sz w:val="22"/>
          <w:szCs w:val="22"/>
        </w:rPr>
      </w:pPr>
      <w:r w:rsidRPr="00136E99">
        <w:rPr>
          <w:b w:val="0"/>
        </w:rPr>
        <w:fldChar w:fldCharType="begin"/>
      </w:r>
      <w:r w:rsidR="00DE705D">
        <w:rPr>
          <w:b w:val="0"/>
        </w:rPr>
        <w:instrText xml:space="preserve"> TOC \h \z \t "Título 1;1;Título 2;2;Título 3;2;Título 4;2;Título 5;2;APENDICE;1;REFERÊNCIA;1;PRE-TEXTO1;1;ANEXO;1;GLOSSÁRIO;1" </w:instrText>
      </w:r>
      <w:r w:rsidRPr="00136E99">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136E99">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136E99">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136E99">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136E99">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136E99">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136E99">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136E99"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136E99">
      <w:pPr>
        <w:pStyle w:val="Sumrio1"/>
        <w:rPr>
          <w:rFonts w:ascii="Calibri" w:hAnsi="Calibri" w:cs="Times New Roman"/>
          <w:b w:val="0"/>
          <w:sz w:val="22"/>
          <w:szCs w:val="22"/>
        </w:rPr>
      </w:pPr>
      <w:r w:rsidRPr="00136E99">
        <w:fldChar w:fldCharType="begin"/>
      </w:r>
      <w:r w:rsidR="0058602A">
        <w:instrText xml:space="preserve"> TOC \h \z \t "FIGURA;1" </w:instrText>
      </w:r>
      <w:r w:rsidRPr="00136E99">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136E99">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136E99">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136E99">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136E99"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136E99">
      <w:pPr>
        <w:pStyle w:val="Sumrio1"/>
        <w:rPr>
          <w:rFonts w:ascii="Calibri" w:hAnsi="Calibri" w:cs="Times New Roman"/>
          <w:b w:val="0"/>
          <w:sz w:val="22"/>
          <w:szCs w:val="22"/>
        </w:rPr>
      </w:pPr>
      <w:r w:rsidRPr="00136E99">
        <w:rPr>
          <w:b w:val="0"/>
        </w:rPr>
        <w:fldChar w:fldCharType="begin"/>
      </w:r>
      <w:r w:rsidR="0058602A">
        <w:rPr>
          <w:b w:val="0"/>
        </w:rPr>
        <w:instrText xml:space="preserve"> TOC \h \z \t "TABELA;1" </w:instrText>
      </w:r>
      <w:r w:rsidRPr="00136E99">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136E99">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136E99"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136E99">
        <w:fldChar w:fldCharType="begin"/>
      </w:r>
      <w:r w:rsidR="00F666C9">
        <w:instrText xml:space="preserve"> REF _Ref297125170 \h </w:instrText>
      </w:r>
      <w:r w:rsidR="00136E99">
        <w:fldChar w:fldCharType="separate"/>
      </w:r>
      <w:r w:rsidR="00F666C9">
        <w:t xml:space="preserve">Figura </w:t>
      </w:r>
      <w:r w:rsidR="00F666C9">
        <w:rPr>
          <w:noProof/>
        </w:rPr>
        <w:t>1</w:t>
      </w:r>
      <w:r w:rsidR="00136E99">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F25F4A">
        <w:fldChar w:fldCharType="begin"/>
      </w:r>
      <w:r w:rsidR="00F25F4A">
        <w:instrText xml:space="preserve"> REF _Ref299199196 \h </w:instrText>
      </w:r>
      <w:r w:rsidR="00F25F4A">
        <w:fldChar w:fldCharType="separate"/>
      </w:r>
      <w:r w:rsidR="00F25F4A">
        <w:t>G</w:t>
      </w:r>
      <w:r w:rsidR="00F25F4A">
        <w:t>r</w:t>
      </w:r>
      <w:r w:rsidR="00F25F4A">
        <w:t>áfi</w:t>
      </w:r>
      <w:r w:rsidR="00F25F4A">
        <w:t>c</w:t>
      </w:r>
      <w:r w:rsidR="00F25F4A">
        <w:t xml:space="preserve">o </w:t>
      </w:r>
      <w:r w:rsidR="00F25F4A">
        <w:rPr>
          <w:noProof/>
        </w:rPr>
        <w:t>1</w:t>
      </w:r>
      <w:r w:rsidR="00F25F4A">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852541" w:rsidP="00852541">
      <w:pPr>
        <w:pStyle w:val="Ttulo2"/>
      </w:pPr>
      <w:bookmarkStart w:id="133" w:name="_Toc296948496"/>
      <w:r>
        <w:t xml:space="preserve">DESENVOLVIMENTO ÁGIL PARA INTERNET (estilo Título </w:t>
      </w:r>
      <w:proofErr w:type="gramStart"/>
      <w:r>
        <w:t>2</w:t>
      </w:r>
      <w:proofErr w:type="gramEnd"/>
      <w:r>
        <w:t>)</w:t>
      </w:r>
      <w:bookmarkEnd w:id="133"/>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0D278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7F02A2" w:rsidRPr="005F4E18" w:rsidRDefault="00B20A4B" w:rsidP="007F02A2">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F02A2">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lastRenderedPageBreak/>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proofErr w:type="gramStart"/>
      <w:r w:rsidR="003935C0">
        <w:t>deve-se</w:t>
      </w:r>
      <w:proofErr w:type="gramEnd"/>
      <w:r w:rsidR="003935C0">
        <w:t xml:space="preserve"> adicionar a rotina de teste específica da tal funcionalidade</w:t>
      </w:r>
      <w:r w:rsidR="00F859F8">
        <w:t>.</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lastRenderedPageBreak/>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136E99">
        <w:fldChar w:fldCharType="begin"/>
      </w:r>
      <w:r w:rsidR="00C7454A">
        <w:instrText xml:space="preserve"> REF _Ref298966957 \h </w:instrText>
      </w:r>
      <w:r w:rsidR="00136E99">
        <w:fldChar w:fldCharType="separate"/>
      </w:r>
      <w:r w:rsidR="00C7454A">
        <w:t xml:space="preserve">Figura </w:t>
      </w:r>
      <w:r w:rsidR="00C7454A">
        <w:rPr>
          <w:noProof/>
        </w:rPr>
        <w:t>3</w:t>
      </w:r>
      <w:r w:rsidR="00136E99">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Pr>
            <w:noProof/>
          </w:rPr>
          <w:t>3</w:t>
        </w:r>
      </w:fldSimple>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lastRenderedPageBreak/>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6948500"/>
      <w:r>
        <w:t>INSTRUÇÕES PARA DIGITAÇÃO (</w:t>
      </w:r>
      <w:r w:rsidR="00EA2B91">
        <w:t xml:space="preserve">estilo </w:t>
      </w:r>
      <w:r>
        <w:t xml:space="preserve">Título </w:t>
      </w:r>
      <w:proofErr w:type="gramStart"/>
      <w:r>
        <w:t>2</w:t>
      </w:r>
      <w:proofErr w:type="gramEnd"/>
      <w:r>
        <w:t>)</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6948501"/>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2951855"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2951856"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6948505"/>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6948506"/>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6948507"/>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136E99"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136E99"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6948508"/>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6948509"/>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6948510"/>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F7A" w:rsidRDefault="00DE6F7A">
      <w:r>
        <w:separator/>
      </w:r>
    </w:p>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endnote>
  <w:endnote w:type="continuationSeparator" w:id="0">
    <w:p w:rsidR="00DE6F7A" w:rsidRDefault="00DE6F7A">
      <w:r>
        <w:continuationSeparator/>
      </w:r>
    </w:p>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36" w:rsidRDefault="006A5636"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A5636" w:rsidRDefault="006A563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36" w:rsidRDefault="006A5636" w:rsidP="002139FD">
    <w:pPr>
      <w:pStyle w:val="Rodap"/>
      <w:framePr w:wrap="around" w:vAnchor="text" w:hAnchor="page" w:x="5881" w:y="55"/>
      <w:jc w:val="center"/>
      <w:rPr>
        <w:rStyle w:val="Nmerodepgina"/>
      </w:rPr>
    </w:pPr>
  </w:p>
  <w:p w:rsidR="006A5636" w:rsidRPr="00A11DEE" w:rsidRDefault="006A5636"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36" w:rsidRPr="00D412F2" w:rsidRDefault="006A5636"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2900B7">
      <w:rPr>
        <w:rStyle w:val="Nmerodepgina"/>
        <w:noProof/>
      </w:rPr>
      <w:t>20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36" w:rsidRDefault="006A5636"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3C80">
      <w:rPr>
        <w:rStyle w:val="Nmerodepgina"/>
        <w:noProof/>
      </w:rPr>
      <w:t>36</w:t>
    </w:r>
    <w:r>
      <w:rPr>
        <w:rStyle w:val="Nmerodepgina"/>
      </w:rPr>
      <w:fldChar w:fldCharType="end"/>
    </w:r>
  </w:p>
  <w:p w:rsidR="006A5636" w:rsidRPr="00743538" w:rsidRDefault="006A5636"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F7A" w:rsidRDefault="00DE6F7A">
      <w:r>
        <w:separator/>
      </w:r>
    </w:p>
    <w:p w:rsidR="00DE6F7A" w:rsidRDefault="00DE6F7A"/>
  </w:footnote>
  <w:footnote w:type="continuationSeparator" w:id="0">
    <w:p w:rsidR="00DE6F7A" w:rsidRDefault="00DE6F7A">
      <w:r>
        <w:continuationSeparator/>
      </w:r>
    </w:p>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p w:rsidR="00DE6F7A" w:rsidRDefault="00DE6F7A"/>
  </w:footnote>
  <w:footnote w:type="continuationNotice" w:id="1">
    <w:p w:rsidR="00DE6F7A" w:rsidRDefault="00DE6F7A"/>
    <w:p w:rsidR="00DE6F7A" w:rsidRDefault="00DE6F7A"/>
    <w:p w:rsidR="00DE6F7A" w:rsidRDefault="00DE6F7A"/>
    <w:p w:rsidR="00DE6F7A" w:rsidRDefault="00DE6F7A"/>
    <w:p w:rsidR="00DE6F7A" w:rsidRDefault="00DE6F7A"/>
    <w:p w:rsidR="00DE6F7A" w:rsidRDefault="00DE6F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36" w:rsidRDefault="006A563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20"/>
  </w:num>
  <w:num w:numId="8">
    <w:abstractNumId w:val="17"/>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12"/>
  </w:num>
  <w:num w:numId="23">
    <w:abstractNumId w:val="19"/>
  </w:num>
  <w:num w:numId="24">
    <w:abstractNumId w:val="18"/>
  </w:num>
  <w:num w:numId="25">
    <w:abstractNumId w:val="15"/>
  </w:num>
  <w:num w:numId="26">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355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095"/>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35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11</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12</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13</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14</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15</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16</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17</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18</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9</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19</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20</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10</b:RefOrder>
  </b:Source>
  <b:Source>
    <b:Tag>Rub09</b:Tag>
    <b:SourceType>Book</b:SourceType>
    <b:Guid>{32AD5066-67A6-4E78-AA44-C38D31DA818E}</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 Texas</b:City>
    <b:Publisher>The Pragmatic Bookshelf</b:Publisher>
    <b:Edition>3</b:Edition>
    <b:RefOrder>7</b:RefOrder>
  </b:Source>
  <b:Source>
    <b:Tag>JrC10</b:Tag>
    <b:SourceType>Book</b:SourceType>
    <b:Guid>{B7C95B4C-007C-45F7-BB9D-CEBC4E5D9462}</b:Guid>
    <b:LCID>0</b:LCID>
    <b:Author>
      <b:Author>
        <b:NameList>
          <b:Person>
            <b:Last>Jr.</b:Last>
            <b:First>Cloves</b:First>
            <b:Middle>Carneiro</b:Middle>
          </b:Person>
          <b:Person>
            <b:Last>Barazi</b:Last>
            <b:First>Rida</b:First>
            <b:Middle>Al</b:Middle>
          </b:Person>
        </b:NameList>
      </b:Author>
    </b:Author>
    <b:Title>Beginning Rails 3</b:Title>
    <b:Year>2010</b:Year>
    <b:City>New York, USA</b:City>
    <b:Publisher>Apress</b:Publisher>
    <b:RefOrder>8</b:RefOrder>
  </b:Source>
</b:Sources>
</file>

<file path=customXml/itemProps1.xml><?xml version="1.0" encoding="utf-8"?>
<ds:datastoreItem xmlns:ds="http://schemas.openxmlformats.org/officeDocument/2006/customXml" ds:itemID="{69E2CA3D-96B1-4C74-844B-B30734F1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2258</TotalTime>
  <Pages>36</Pages>
  <Words>6610</Words>
  <Characters>35696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42222</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81</cp:revision>
  <cp:lastPrinted>2009-06-08T15:02:00Z</cp:lastPrinted>
  <dcterms:created xsi:type="dcterms:W3CDTF">2011-06-21T16:20:00Z</dcterms:created>
  <dcterms:modified xsi:type="dcterms:W3CDTF">2011-07-23T21:44:00Z</dcterms:modified>
</cp:coreProperties>
</file>