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40"/>
          <w:szCs w:val="40"/>
        </w:rPr>
        <w:t xml:space="preserve">JOSEPH MARKMAN</w:t>
      </w:r>
    </w:p>
    <w:p>
      <w:pPr>
        <w:spacing w:after="60"/>
        <w:jc w:val="center"/>
      </w:pPr>
      <w:r>
        <w:rPr>
          <w:rFonts w:ascii="Arial" w:cs="Arial" w:eastAsia="Arial" w:hAnsi="Arial"/>
          <w:color w:val="555555"/>
          <w:sz w:val="20"/>
          <w:szCs w:val="20"/>
        </w:rPr>
        <w:t xml:space="preserve">UX Researcher  ·  Digital Anthropologist  ·  Consumer Insights Specialist</w:t>
      </w:r>
    </w:p>
    <w:p>
      <w:pPr>
        <w:pBdr>
          <w:bottom w:val="single" w:color="006B6B" w:sz="4" w:space="4"/>
        </w:pBdr>
        <w:spacing w:after="120"/>
        <w:jc w:val="center"/>
      </w:pPr>
      <w:r>
        <w:rPr>
          <w:rFonts w:ascii="Arial" w:cs="Arial" w:eastAsia="Arial" w:hAnsi="Arial"/>
          <w:color w:val="888888"/>
          <w:sz w:val="18"/>
          <w:szCs w:val="18"/>
        </w:rPr>
        <w:t xml:space="preserve">Lyon, France  ·  josephmarkman.com  ·  hi@josephmarkman.com  ·  English (Native)  ·  French (C1)</w:t>
      </w:r>
    </w:p>
    <w:p>
      <w:pPr>
        <w:pBdr>
          <w:bottom w:val="single" w:color="006B6B" w:sz="4" w:space="4"/>
        </w:pBdr>
        <w:spacing w:after="60" w:before="220"/>
      </w:pPr>
      <w:r>
        <w:rPr>
          <w:rFonts w:ascii="Arial" w:cs="Arial" w:eastAsia="Arial" w:hAnsi="Arial"/>
          <w:b/>
          <w:bCs/>
          <w:color w:val="006B6B"/>
          <w:sz w:val="22"/>
          <w:szCs w:val="22"/>
        </w:rPr>
        <w:t xml:space="preserve">PROFESSIONAL SUMMARY</w:t>
      </w:r>
    </w:p>
    <w:p>
      <w:pPr>
        <w:spacing w:after="80"/>
        <w:jc w:val="both"/>
      </w:pPr>
      <w:r>
        <w:rPr>
          <w:rFonts w:ascii="Arial" w:cs="Arial" w:eastAsia="Arial" w:hAnsi="Arial"/>
          <w:color w:val="000000"/>
          <w:sz w:val="20"/>
          <w:szCs w:val="20"/>
        </w:rPr>
        <w:t xml:space="preserve">Bilingual UX researcher and digital anthropologist (EN/FR) with an MA in Anthropology from Université Lumière Lyon II (PRECIAM, 2024), specializing in netnography, diary studies, and qualitative consumer behavior research. Trained in affinity mapping, persona development, and user journey mapping. Experienced translating complex behavioral data into design-ready insights across digital health, AI ethics, and platform adoption contexts. Foundational research orientation with a strong cross-cultural lens — conducting and analyzing research in both English and French.</w:t>
      </w:r>
    </w:p>
    <w:p>
      <w:pPr>
        <w:pBdr>
          <w:bottom w:val="single" w:color="006B6B" w:sz="4" w:space="4"/>
        </w:pBdr>
        <w:spacing w:after="60" w:before="220"/>
      </w:pPr>
      <w:r>
        <w:rPr>
          <w:rFonts w:ascii="Arial" w:cs="Arial" w:eastAsia="Arial" w:hAnsi="Arial"/>
          <w:b/>
          <w:bCs/>
          <w:color w:val="006B6B"/>
          <w:sz w:val="22"/>
          <w:szCs w:val="22"/>
        </w:rPr>
        <w:t xml:space="preserve">CORE COMPETENCIES</w:t>
      </w:r>
    </w:p>
    <w:p>
      <w:pPr>
        <w:spacing w:after="60"/>
      </w:pPr>
      <w:r>
        <w:rPr>
          <w:rFonts w:ascii="Arial" w:cs="Arial" w:eastAsia="Arial" w:hAnsi="Arial"/>
          <w:b/>
          <w:bCs/>
          <w:color w:val="000000"/>
          <w:sz w:val="20"/>
          <w:szCs w:val="20"/>
        </w:rPr>
        <w:t xml:space="preserve">Research &amp; Analysis: </w:t>
      </w:r>
      <w:r>
        <w:rPr>
          <w:rFonts w:ascii="Arial" w:cs="Arial" w:eastAsia="Arial" w:hAnsi="Arial"/>
          <w:color w:val="000000"/>
          <w:sz w:val="20"/>
          <w:szCs w:val="20"/>
        </w:rPr>
        <w:t xml:space="preserve">Digital Ethnography · Netnography · Diary Studies · Semi-structured Interviewing · Online Participant Observation · Qualitative Content Analysis · Affinity Mapping · Thematic Synthesis</w:t>
      </w:r>
    </w:p>
    <w:p>
      <w:pPr>
        <w:spacing w:after="60"/>
      </w:pPr>
      <w:r>
        <w:rPr>
          <w:rFonts w:ascii="Arial" w:cs="Arial" w:eastAsia="Arial" w:hAnsi="Arial"/>
          <w:b/>
          <w:bCs/>
          <w:color w:val="000000"/>
          <w:sz w:val="20"/>
          <w:szCs w:val="20"/>
        </w:rPr>
        <w:t xml:space="preserve">UXR Methods: </w:t>
      </w:r>
      <w:r>
        <w:rPr>
          <w:rFonts w:ascii="Arial" w:cs="Arial" w:eastAsia="Arial" w:hAnsi="Arial"/>
          <w:color w:val="000000"/>
          <w:sz w:val="20"/>
          <w:szCs w:val="20"/>
        </w:rPr>
        <w:t xml:space="preserve">User Journey Mapping · Persona Development · Empathy Mapping · Longitudinal Behavioral Tracking · Consumer Insights · Digital Behavior Analysis</w:t>
      </w:r>
    </w:p>
    <w:p>
      <w:pPr>
        <w:spacing w:after="60"/>
      </w:pPr>
      <w:r>
        <w:rPr>
          <w:rFonts w:ascii="Arial" w:cs="Arial" w:eastAsia="Arial" w:hAnsi="Arial"/>
          <w:b/>
          <w:bCs/>
          <w:color w:val="000000"/>
          <w:sz w:val="20"/>
          <w:szCs w:val="20"/>
        </w:rPr>
        <w:t xml:space="preserve">Applied &amp; Strategic: </w:t>
      </w:r>
      <w:r>
        <w:rPr>
          <w:rFonts w:ascii="Arial" w:cs="Arial" w:eastAsia="Arial" w:hAnsi="Arial"/>
          <w:color w:val="000000"/>
          <w:sz w:val="20"/>
          <w:szCs w:val="20"/>
        </w:rPr>
        <w:t xml:space="preserve">AI Ethics &amp; Governance · Human-centered Design · Consumer Experience Research · Platform Adoption Studies · Cross-cultural Research Design</w:t>
      </w:r>
    </w:p>
    <w:p>
      <w:pPr>
        <w:spacing w:after="60"/>
      </w:pPr>
      <w:r>
        <w:rPr>
          <w:rFonts w:ascii="Arial" w:cs="Arial" w:eastAsia="Arial" w:hAnsi="Arial"/>
          <w:b/>
          <w:bCs/>
          <w:color w:val="000000"/>
          <w:sz w:val="20"/>
          <w:szCs w:val="20"/>
        </w:rPr>
        <w:t xml:space="preserve">Operations &amp; Communication: </w:t>
      </w:r>
      <w:r>
        <w:rPr>
          <w:rFonts w:ascii="Arial" w:cs="Arial" w:eastAsia="Arial" w:hAnsi="Arial"/>
          <w:color w:val="000000"/>
          <w:sz w:val="20"/>
          <w:szCs w:val="20"/>
        </w:rPr>
        <w:t xml:space="preserve">Intercultural Mediation · Bilingual Field Coordination (EN/FR) · Research Translation for Non-specialist Audiences · Stakeholder Liaison</w:t>
      </w:r>
    </w:p>
    <w:p>
      <w:pPr>
        <w:pBdr>
          <w:bottom w:val="single" w:color="006B6B" w:sz="4" w:space="4"/>
        </w:pBdr>
        <w:spacing w:after="60" w:before="220"/>
      </w:pPr>
      <w:r>
        <w:rPr>
          <w:rFonts w:ascii="Arial" w:cs="Arial" w:eastAsia="Arial" w:hAnsi="Arial"/>
          <w:b/>
          <w:bCs/>
          <w:color w:val="006B6B"/>
          <w:sz w:val="22"/>
          <w:szCs w:val="22"/>
        </w:rPr>
        <w:t xml:space="preserve">PROFESSIONAL EXPERIENCE</w:t>
      </w:r>
    </w:p>
    <w:p>
      <w:pPr>
        <w:tabs>
          <w:tab w:val="right" w:pos="9026"/>
        </w:tabs>
        <w:spacing w:after="40" w:before="160"/>
      </w:pPr>
      <w:r>
        <w:rPr>
          <w:rFonts w:ascii="Arial" w:cs="Arial" w:eastAsia="Arial" w:hAnsi="Arial"/>
          <w:b/>
          <w:bCs/>
          <w:color w:val="000000"/>
          <w:sz w:val="20"/>
          <w:szCs w:val="20"/>
        </w:rPr>
        <w:t xml:space="preserve">Independent Researcher</w:t>
      </w:r>
      <w:r>
        <w:rPr>
          <w:rFonts w:ascii="Arial" w:cs="Arial" w:eastAsia="Arial" w:hAnsi="Arial"/>
          <w:color w:val="555555"/>
          <w:sz w:val="20"/>
          <w:szCs w:val="20"/>
        </w:rPr>
        <w:t xml:space="preserve">  ·  Digital Anthropology &amp; AI Ethics</w:t>
      </w:r>
      <w:r>
        <w:rPr>
          <w:rFonts w:ascii="Arial" w:cs="Arial" w:eastAsia="Arial" w:hAnsi="Arial"/>
          <w:color w:val="888888"/>
          <w:sz w:val="20"/>
          <w:szCs w:val="20"/>
        </w:rPr>
        <w:t xml:space="preserve">	2024 – Present</w:t>
      </w:r>
    </w:p>
    <w:p>
      <w:pPr>
        <w:pStyle w:val="ListParagraph"/>
        <w:numPr>
          <w:ilvl w:val="0"/>
          <w:numId w:val="2"/>
        </w:numPr>
        <w:spacing w:after="50"/>
      </w:pPr>
      <w:r>
        <w:rPr>
          <w:rFonts w:ascii="Arial" w:cs="Arial" w:eastAsia="Arial" w:hAnsi="Arial"/>
          <w:color w:val="000000"/>
          <w:sz w:val="20"/>
          <w:szCs w:val="20"/>
        </w:rPr>
        <w:t xml:space="preserve">Conducted longitudinal diary study research on AI-mediated parasocial relationships using SocialAI as a field site; developed user typologies, journey maps, and design implications from behavioral data.</w:t>
      </w:r>
    </w:p>
    <w:p>
      <w:pPr>
        <w:pStyle w:val="ListParagraph"/>
        <w:numPr>
          <w:ilvl w:val="0"/>
          <w:numId w:val="2"/>
        </w:numPr>
        <w:spacing w:after="50"/>
      </w:pPr>
      <w:r>
        <w:rPr>
          <w:rFonts w:ascii="Arial" w:cs="Arial" w:eastAsia="Arial" w:hAnsi="Arial"/>
          <w:color w:val="000000"/>
          <w:sz w:val="20"/>
          <w:szCs w:val="20"/>
        </w:rPr>
        <w:t xml:space="preserve">Led netnographic audit of AI griefbot discourse (50+ Reddit discussions, 500+ NVivo-coded comments); produced affinity-mapped findings, proto-personas, and consent-framework design recommendations aligned with GDPR/CNIL requirements.</w:t>
      </w:r>
    </w:p>
    <w:p>
      <w:pPr>
        <w:pStyle w:val="ListParagraph"/>
        <w:numPr>
          <w:ilvl w:val="0"/>
          <w:numId w:val="2"/>
        </w:numPr>
        <w:spacing w:after="50"/>
      </w:pPr>
      <w:r>
        <w:rPr>
          <w:rFonts w:ascii="Arial" w:cs="Arial" w:eastAsia="Arial" w:hAnsi="Arial"/>
          <w:color w:val="000000"/>
          <w:sz w:val="20"/>
          <w:szCs w:val="20"/>
        </w:rPr>
        <w:t xml:space="preserve">Synthesize qualitative observations and emerging literature into written analysis on digital culture, platform governance, and AI–human interaction.</w:t>
      </w:r>
    </w:p>
    <w:p>
      <w:pPr>
        <w:tabs>
          <w:tab w:val="right" w:pos="9026"/>
        </w:tabs>
        <w:spacing w:after="40" w:before="160"/>
      </w:pPr>
      <w:r>
        <w:rPr>
          <w:rFonts w:ascii="Arial" w:cs="Arial" w:eastAsia="Arial" w:hAnsi="Arial"/>
          <w:b/>
          <w:bCs/>
          <w:color w:val="000000"/>
          <w:sz w:val="20"/>
          <w:szCs w:val="20"/>
        </w:rPr>
        <w:t xml:space="preserve">Strategic Co-Lead</w:t>
      </w:r>
      <w:r>
        <w:rPr>
          <w:rFonts w:ascii="Arial" w:cs="Arial" w:eastAsia="Arial" w:hAnsi="Arial"/>
          <w:color w:val="555555"/>
          <w:sz w:val="20"/>
          <w:szCs w:val="20"/>
        </w:rPr>
        <w:t xml:space="preserve">  ·  Emerging Technologies Group · Applied Anthropology Network (AAN/EASA)</w:t>
      </w:r>
      <w:r>
        <w:rPr>
          <w:rFonts w:ascii="Arial" w:cs="Arial" w:eastAsia="Arial" w:hAnsi="Arial"/>
          <w:color w:val="888888"/>
          <w:sz w:val="20"/>
          <w:szCs w:val="20"/>
        </w:rPr>
        <w:t xml:space="preserve">	2025 – Present</w:t>
      </w:r>
    </w:p>
    <w:p>
      <w:pPr>
        <w:pStyle w:val="ListParagraph"/>
        <w:numPr>
          <w:ilvl w:val="0"/>
          <w:numId w:val="2"/>
        </w:numPr>
        <w:spacing w:after="50"/>
      </w:pPr>
      <w:r>
        <w:rPr>
          <w:rFonts w:ascii="Arial" w:cs="Arial" w:eastAsia="Arial" w:hAnsi="Arial"/>
          <w:color w:val="000000"/>
          <w:sz w:val="20"/>
          <w:szCs w:val="20"/>
        </w:rPr>
        <w:t xml:space="preserve">Co-define research mandates evaluating social adoption patterns of emerging digital tools and platforms, with focus on consumer behavior and human–technology interaction.</w:t>
      </w:r>
    </w:p>
    <w:p>
      <w:pPr>
        <w:pStyle w:val="ListParagraph"/>
        <w:numPr>
          <w:ilvl w:val="0"/>
          <w:numId w:val="2"/>
        </w:numPr>
        <w:spacing w:after="50"/>
      </w:pPr>
      <w:r>
        <w:rPr>
          <w:rFonts w:ascii="Arial" w:cs="Arial" w:eastAsia="Arial" w:hAnsi="Arial"/>
          <w:color w:val="000000"/>
          <w:sz w:val="20"/>
          <w:szCs w:val="20"/>
        </w:rPr>
        <w:t xml:space="preserve">Facilitate collaborative sessions that surface community insights and translate findings into applied design recommendations for interdisciplinary practitioners.</w:t>
      </w:r>
    </w:p>
    <w:p>
      <w:pPr>
        <w:pStyle w:val="ListParagraph"/>
        <w:numPr>
          <w:ilvl w:val="0"/>
          <w:numId w:val="2"/>
        </w:numPr>
        <w:spacing w:after="50"/>
      </w:pPr>
      <w:r>
        <w:rPr>
          <w:rFonts w:ascii="Arial" w:cs="Arial" w:eastAsia="Arial" w:hAnsi="Arial"/>
          <w:color w:val="000000"/>
          <w:sz w:val="20"/>
          <w:szCs w:val="20"/>
        </w:rPr>
        <w:t xml:space="preserve">Apply anthropological frameworks to practical technology assessment within an international practitioner network.</w:t>
      </w:r>
    </w:p>
    <w:p>
      <w:pPr>
        <w:tabs>
          <w:tab w:val="right" w:pos="9026"/>
        </w:tabs>
        <w:spacing w:after="40" w:before="160"/>
      </w:pPr>
      <w:r>
        <w:rPr>
          <w:rFonts w:ascii="Arial" w:cs="Arial" w:eastAsia="Arial" w:hAnsi="Arial"/>
          <w:b/>
          <w:bCs/>
          <w:color w:val="000000"/>
          <w:sz w:val="20"/>
          <w:szCs w:val="20"/>
        </w:rPr>
        <w:t xml:space="preserve">Founder &amp; Research Lead</w:t>
      </w:r>
      <w:r>
        <w:rPr>
          <w:rFonts w:ascii="Arial" w:cs="Arial" w:eastAsia="Arial" w:hAnsi="Arial"/>
          <w:color w:val="555555"/>
          <w:sz w:val="20"/>
          <w:szCs w:val="20"/>
        </w:rPr>
        <w:t xml:space="preserve">  ·  Auxlia – Orientation &amp; Support Concept  (auxlia.com)</w:t>
      </w:r>
      <w:r>
        <w:rPr>
          <w:rFonts w:ascii="Arial" w:cs="Arial" w:eastAsia="Arial" w:hAnsi="Arial"/>
          <w:color w:val="888888"/>
          <w:sz w:val="20"/>
          <w:szCs w:val="20"/>
        </w:rPr>
        <w:t xml:space="preserve">	2025 – Present</w:t>
      </w:r>
    </w:p>
    <w:p>
      <w:pPr>
        <w:pStyle w:val="ListParagraph"/>
        <w:numPr>
          <w:ilvl w:val="0"/>
          <w:numId w:val="2"/>
        </w:numPr>
        <w:spacing w:after="50"/>
      </w:pPr>
      <w:r>
        <w:rPr>
          <w:rFonts w:ascii="Arial" w:cs="Arial" w:eastAsia="Arial" w:hAnsi="Arial"/>
          <w:color w:val="000000"/>
          <w:sz w:val="20"/>
          <w:szCs w:val="20"/>
        </w:rPr>
        <w:t xml:space="preserve">Designed a proof-of-concept for a human-centered orientation service addressing cognitive friction in high-stress travel environments.</w:t>
      </w:r>
    </w:p>
    <w:p>
      <w:pPr>
        <w:pStyle w:val="ListParagraph"/>
        <w:numPr>
          <w:ilvl w:val="0"/>
          <w:numId w:val="2"/>
        </w:numPr>
        <w:spacing w:after="50"/>
      </w:pPr>
      <w:r>
        <w:rPr>
          <w:rFonts w:ascii="Arial" w:cs="Arial" w:eastAsia="Arial" w:hAnsi="Arial"/>
          <w:color w:val="000000"/>
          <w:sz w:val="20"/>
          <w:szCs w:val="20"/>
        </w:rPr>
        <w:t xml:space="preserve">Developed service frameworks grounded in mental-load reduction and accessibility principles, informed by qualitative research on traveler behavior.</w:t>
      </w:r>
    </w:p>
    <w:p>
      <w:pPr>
        <w:tabs>
          <w:tab w:val="right" w:pos="9026"/>
        </w:tabs>
        <w:spacing w:after="40" w:before="160"/>
      </w:pPr>
      <w:r>
        <w:rPr>
          <w:rFonts w:ascii="Arial" w:cs="Arial" w:eastAsia="Arial" w:hAnsi="Arial"/>
          <w:b/>
          <w:bCs/>
          <w:color w:val="000000"/>
          <w:sz w:val="20"/>
          <w:szCs w:val="20"/>
        </w:rPr>
        <w:t xml:space="preserve">Intercultural Field Consultant</w:t>
      </w:r>
      <w:r>
        <w:rPr>
          <w:rFonts w:ascii="Arial" w:cs="Arial" w:eastAsia="Arial" w:hAnsi="Arial"/>
          <w:color w:val="555555"/>
          <w:sz w:val="20"/>
          <w:szCs w:val="20"/>
        </w:rPr>
        <w:t xml:space="preserve">  ·  Freelance – River Cruise Tourism</w:t>
      </w:r>
      <w:r>
        <w:rPr>
          <w:rFonts w:ascii="Arial" w:cs="Arial" w:eastAsia="Arial" w:hAnsi="Arial"/>
          <w:color w:val="888888"/>
          <w:sz w:val="20"/>
          <w:szCs w:val="20"/>
        </w:rPr>
        <w:t xml:space="preserve">	2024 – Present</w:t>
      </w:r>
    </w:p>
    <w:p>
      <w:pPr>
        <w:spacing w:after="60" w:before="0"/>
      </w:pPr>
      <w:r>
        <w:rPr>
          <w:rFonts w:ascii="Arial" w:cs="Arial" w:eastAsia="Arial" w:hAnsi="Arial"/>
          <w:i/>
          <w:iCs/>
          <w:color w:val="888888"/>
          <w:sz w:val="18"/>
          <w:szCs w:val="18"/>
        </w:rPr>
        <w:t xml:space="preserve">Clients: Feel of French Way, Un Monde Bleu, and 3 further agencies · 10+ cruise vessels, Lyon region</w:t>
      </w:r>
    </w:p>
    <w:p>
      <w:pPr>
        <w:pStyle w:val="ListParagraph"/>
        <w:numPr>
          <w:ilvl w:val="0"/>
          <w:numId w:val="2"/>
        </w:numPr>
        <w:spacing w:after="50"/>
      </w:pPr>
      <w:r>
        <w:rPr>
          <w:rFonts w:ascii="Arial" w:cs="Arial" w:eastAsia="Arial" w:hAnsi="Arial"/>
          <w:color w:val="000000"/>
          <w:sz w:val="20"/>
          <w:szCs w:val="20"/>
        </w:rPr>
        <w:t xml:space="preserve">Coordinate bilingual (EN/FR) logistics and passenger operations for 4 client agencies across 10+ river cruise vessels in the Lyon region, serving international traveler groups from North America, the UK, and Australia.</w:t>
      </w:r>
    </w:p>
    <w:p>
      <w:pPr>
        <w:pStyle w:val="ListParagraph"/>
        <w:numPr>
          <w:ilvl w:val="0"/>
          <w:numId w:val="2"/>
        </w:numPr>
        <w:spacing w:after="50"/>
      </w:pPr>
      <w:r>
        <w:rPr>
          <w:rFonts w:ascii="Arial" w:cs="Arial" w:eastAsia="Arial" w:hAnsi="Arial"/>
          <w:color w:val="000000"/>
          <w:sz w:val="20"/>
          <w:szCs w:val="20"/>
        </w:rPr>
        <w:t xml:space="preserve">Act as primary intercultural liaison between French-speaking operators and English-speaking guests, resolving cross-cultural communication issues in real time and adapting service delivery to diverse national expectations.</w:t>
      </w:r>
    </w:p>
    <w:p>
      <w:pPr>
        <w:tabs>
          <w:tab w:val="right" w:pos="9026"/>
        </w:tabs>
        <w:spacing w:after="40" w:before="160"/>
      </w:pPr>
      <w:r>
        <w:rPr>
          <w:rFonts w:ascii="Arial" w:cs="Arial" w:eastAsia="Arial" w:hAnsi="Arial"/>
          <w:b/>
          <w:bCs/>
          <w:color w:val="000000"/>
          <w:sz w:val="20"/>
          <w:szCs w:val="20"/>
        </w:rPr>
        <w:t xml:space="preserve">Real Estate Consultant</w:t>
      </w:r>
      <w:r>
        <w:rPr>
          <w:rFonts w:ascii="Arial" w:cs="Arial" w:eastAsia="Arial" w:hAnsi="Arial"/>
          <w:color w:val="555555"/>
          <w:sz w:val="20"/>
          <w:szCs w:val="20"/>
        </w:rPr>
        <w:t xml:space="preserve">  ·  Keller Williams Village Square Realty</w:t>
      </w:r>
      <w:r>
        <w:rPr>
          <w:rFonts w:ascii="Arial" w:cs="Arial" w:eastAsia="Arial" w:hAnsi="Arial"/>
          <w:color w:val="888888"/>
          <w:sz w:val="20"/>
          <w:szCs w:val="20"/>
        </w:rPr>
        <w:t xml:space="preserve">	2019 – 2021</w:t>
      </w:r>
    </w:p>
    <w:p>
      <w:pPr>
        <w:pStyle w:val="ListParagraph"/>
        <w:numPr>
          <w:ilvl w:val="0"/>
          <w:numId w:val="2"/>
        </w:numPr>
        <w:spacing w:after="50"/>
      </w:pPr>
      <w:r>
        <w:rPr>
          <w:rFonts w:ascii="Arial" w:cs="Arial" w:eastAsia="Arial" w:hAnsi="Arial"/>
          <w:color w:val="000000"/>
          <w:sz w:val="20"/>
          <w:szCs w:val="20"/>
        </w:rPr>
        <w:t xml:space="preserve">Conducted comparative market analyses and guided clients through property transactions with a focus on negotiation strategy and transparent communication.</w:t>
      </w:r>
    </w:p>
    <w:p>
      <w:pPr>
        <w:pStyle w:val="ListParagraph"/>
        <w:numPr>
          <w:ilvl w:val="0"/>
          <w:numId w:val="2"/>
        </w:numPr>
        <w:spacing w:after="50"/>
      </w:pPr>
      <w:r>
        <w:rPr>
          <w:rFonts w:ascii="Arial" w:cs="Arial" w:eastAsia="Arial" w:hAnsi="Arial"/>
          <w:color w:val="000000"/>
          <w:sz w:val="20"/>
          <w:szCs w:val="20"/>
        </w:rPr>
        <w:t xml:space="preserve">Worked primarily with low-income, Section 8, and immigrant clients, bridging language and systemic barriers to support underserved communities in northern New Jersey.</w:t>
      </w:r>
    </w:p>
    <w:p>
      <w:pPr>
        <w:tabs>
          <w:tab w:val="right" w:pos="9026"/>
        </w:tabs>
        <w:spacing w:after="40" w:before="160"/>
      </w:pPr>
      <w:r>
        <w:rPr>
          <w:rFonts w:ascii="Arial" w:cs="Arial" w:eastAsia="Arial" w:hAnsi="Arial"/>
          <w:b/>
          <w:bCs/>
          <w:color w:val="000000"/>
          <w:sz w:val="20"/>
          <w:szCs w:val="20"/>
        </w:rPr>
        <w:t xml:space="preserve">English Language Instructor</w:t>
      </w:r>
      <w:r>
        <w:rPr>
          <w:rFonts w:ascii="Arial" w:cs="Arial" w:eastAsia="Arial" w:hAnsi="Arial"/>
          <w:color w:val="555555"/>
          <w:sz w:val="20"/>
          <w:szCs w:val="20"/>
        </w:rPr>
        <w:t xml:space="preserve">  ·  TAPIF Program, French Ministry of Education</w:t>
      </w:r>
      <w:r>
        <w:rPr>
          <w:rFonts w:ascii="Arial" w:cs="Arial" w:eastAsia="Arial" w:hAnsi="Arial"/>
          <w:color w:val="888888"/>
          <w:sz w:val="20"/>
          <w:szCs w:val="20"/>
        </w:rPr>
        <w:t xml:space="preserve">	2017 – 2019</w:t>
      </w:r>
    </w:p>
    <w:p>
      <w:pPr>
        <w:pStyle w:val="ListParagraph"/>
        <w:numPr>
          <w:ilvl w:val="0"/>
          <w:numId w:val="2"/>
        </w:numPr>
        <w:spacing w:after="50"/>
      </w:pPr>
      <w:r>
        <w:rPr>
          <w:rFonts w:ascii="Arial" w:cs="Arial" w:eastAsia="Arial" w:hAnsi="Arial"/>
          <w:color w:val="000000"/>
          <w:sz w:val="20"/>
          <w:szCs w:val="20"/>
        </w:rPr>
        <w:t xml:space="preserve">Delivered English language instruction in French public schools through the Teaching Assistant Program in France (TAPIF), one of the most competitive bilateral exchange programs between the US and France.</w:t>
      </w:r>
    </w:p>
    <w:p>
      <w:pPr>
        <w:pStyle w:val="ListParagraph"/>
        <w:numPr>
          <w:ilvl w:val="0"/>
          <w:numId w:val="2"/>
        </w:numPr>
        <w:spacing w:after="50"/>
      </w:pPr>
      <w:r>
        <w:rPr>
          <w:rFonts w:ascii="Arial" w:cs="Arial" w:eastAsia="Arial" w:hAnsi="Arial"/>
          <w:color w:val="000000"/>
          <w:sz w:val="20"/>
          <w:szCs w:val="20"/>
        </w:rPr>
        <w:t xml:space="preserve">Operated entirely within French-language institutional environments, developing professional fluency and cross-cultural adaptability from the outset of career.</w:t>
      </w:r>
    </w:p>
    <w:p>
      <w:pPr>
        <w:pBdr>
          <w:bottom w:val="single" w:color="006B6B" w:sz="4" w:space="4"/>
        </w:pBdr>
        <w:spacing w:after="60" w:before="220"/>
      </w:pPr>
      <w:r>
        <w:rPr>
          <w:rFonts w:ascii="Arial" w:cs="Arial" w:eastAsia="Arial" w:hAnsi="Arial"/>
          <w:b/>
          <w:bCs/>
          <w:color w:val="006B6B"/>
          <w:sz w:val="22"/>
          <w:szCs w:val="22"/>
        </w:rPr>
        <w:t xml:space="preserve">SELECTED PRESENTATIONS</w:t>
      </w:r>
    </w:p>
    <w:p>
      <w:pPr>
        <w:spacing w:after="30" w:before="80"/>
      </w:pPr>
      <w:r>
        <w:rPr>
          <w:rFonts w:ascii="Arial" w:cs="Arial" w:eastAsia="Arial" w:hAnsi="Arial"/>
          <w:i/>
          <w:iCs/>
          <w:color w:val="000000"/>
          <w:sz w:val="20"/>
          <w:szCs w:val="20"/>
        </w:rPr>
        <w:t xml:space="preserve">“Digital Intimacy in a Post-Artificial World”</w:t>
      </w:r>
    </w:p>
    <w:p>
      <w:pPr>
        <w:tabs>
          <w:tab w:val="right" w:pos="9026"/>
        </w:tabs>
        <w:spacing w:after="80" w:before="0"/>
      </w:pPr>
      <w:r>
        <w:rPr>
          <w:rFonts w:ascii="Arial" w:cs="Arial" w:eastAsia="Arial" w:hAnsi="Arial"/>
          <w:color w:val="555555"/>
          <w:sz w:val="20"/>
          <w:szCs w:val="20"/>
        </w:rPr>
        <w:t xml:space="preserve">Invited talk · Why the World Needs Anthropologists? · EASA Applied Anthropology Network</w:t>
      </w:r>
      <w:r>
        <w:rPr>
          <w:rFonts w:ascii="Arial" w:cs="Arial" w:eastAsia="Arial" w:hAnsi="Arial"/>
          <w:color w:val="888888"/>
          <w:sz w:val="20"/>
          <w:szCs w:val="20"/>
        </w:rPr>
        <w:t xml:space="preserve">	October 2025, Bologna, Italy</w:t>
      </w:r>
    </w:p>
    <w:p>
      <w:pPr>
        <w:pBdr>
          <w:bottom w:val="single" w:color="006B6B" w:sz="4" w:space="4"/>
        </w:pBdr>
        <w:spacing w:after="60" w:before="220"/>
      </w:pPr>
      <w:r>
        <w:rPr>
          <w:rFonts w:ascii="Arial" w:cs="Arial" w:eastAsia="Arial" w:hAnsi="Arial"/>
          <w:b/>
          <w:bCs/>
          <w:color w:val="006B6B"/>
          <w:sz w:val="22"/>
          <w:szCs w:val="22"/>
        </w:rPr>
        <w:t xml:space="preserve">EDUCATION</w:t>
      </w:r>
    </w:p>
    <w:p>
      <w:pPr>
        <w:tabs>
          <w:tab w:val="right" w:pos="9026"/>
        </w:tabs>
        <w:spacing w:after="40" w:before="160"/>
      </w:pPr>
      <w:r>
        <w:rPr>
          <w:rFonts w:ascii="Arial" w:cs="Arial" w:eastAsia="Arial" w:hAnsi="Arial"/>
          <w:b/>
          <w:bCs/>
          <w:color w:val="000000"/>
          <w:sz w:val="20"/>
          <w:szCs w:val="20"/>
        </w:rPr>
        <w:t xml:space="preserve">MA Anthropology (PRECIAM)</w:t>
      </w:r>
      <w:r>
        <w:rPr>
          <w:rFonts w:ascii="Arial" w:cs="Arial" w:eastAsia="Arial" w:hAnsi="Arial"/>
          <w:color w:val="555555"/>
          <w:sz w:val="20"/>
          <w:szCs w:val="20"/>
        </w:rPr>
        <w:t xml:space="preserve">  ·  Université Lumière Lyon II</w:t>
      </w:r>
      <w:r>
        <w:rPr>
          <w:rFonts w:ascii="Arial" w:cs="Arial" w:eastAsia="Arial" w:hAnsi="Arial"/>
          <w:color w:val="888888"/>
          <w:sz w:val="20"/>
          <w:szCs w:val="20"/>
        </w:rPr>
        <w:t xml:space="preserve">	2021 – 2024</w:t>
      </w:r>
    </w:p>
    <w:p>
      <w:pPr>
        <w:pStyle w:val="ListParagraph"/>
        <w:numPr>
          <w:ilvl w:val="0"/>
          <w:numId w:val="2"/>
        </w:numPr>
        <w:spacing w:after="50"/>
      </w:pPr>
      <w:r>
        <w:rPr>
          <w:rFonts w:ascii="Arial" w:cs="Arial" w:eastAsia="Arial" w:hAnsi="Arial"/>
          <w:color w:val="000000"/>
          <w:sz w:val="20"/>
          <w:szCs w:val="20"/>
        </w:rPr>
        <w:t xml:space="preserve">Thesis: What do you meme? Digital Memes and Online Humor — An Anthropological Analysis of the Facebook Group ‘Oui, Oui, Je Speak Franglais’</w:t>
      </w:r>
    </w:p>
    <w:p>
      <w:pPr>
        <w:pStyle w:val="ListParagraph"/>
        <w:numPr>
          <w:ilvl w:val="0"/>
          <w:numId w:val="2"/>
        </w:numPr>
        <w:spacing w:after="50"/>
      </w:pPr>
      <w:r>
        <w:rPr>
          <w:rFonts w:ascii="Arial" w:cs="Arial" w:eastAsia="Arial" w:hAnsi="Arial"/>
          <w:color w:val="000000"/>
          <w:sz w:val="20"/>
          <w:szCs w:val="20"/>
        </w:rPr>
        <w:t xml:space="preserve">Methods: Netnography, digital participant observation, semi-structured interviews, qualitative content analysis.</w:t>
      </w:r>
    </w:p>
    <w:p>
      <w:pPr>
        <w:pStyle w:val="ListParagraph"/>
        <w:numPr>
          <w:ilvl w:val="0"/>
          <w:numId w:val="2"/>
        </w:numPr>
        <w:spacing w:after="50"/>
      </w:pPr>
      <w:r>
        <w:rPr>
          <w:rFonts w:ascii="Arial" w:cs="Arial" w:eastAsia="Arial" w:hAnsi="Arial"/>
          <w:color w:val="000000"/>
          <w:sz w:val="20"/>
          <w:szCs w:val="20"/>
        </w:rPr>
        <w:t xml:space="preserve">Research focus: How internet memes shape collective identity and social cohesion in bilingual (FR/EN) online communities.</w:t>
      </w:r>
    </w:p>
    <w:p>
      <w:pPr>
        <w:tabs>
          <w:tab w:val="right" w:pos="9026"/>
        </w:tabs>
        <w:spacing w:after="40" w:before="160"/>
      </w:pPr>
      <w:r>
        <w:rPr>
          <w:rFonts w:ascii="Arial" w:cs="Arial" w:eastAsia="Arial" w:hAnsi="Arial"/>
          <w:b/>
          <w:bCs/>
          <w:color w:val="000000"/>
          <w:sz w:val="20"/>
          <w:szCs w:val="20"/>
        </w:rPr>
        <w:t xml:space="preserve">BA Anthropology &amp; French</w:t>
      </w:r>
      <w:r>
        <w:rPr>
          <w:rFonts w:ascii="Arial" w:cs="Arial" w:eastAsia="Arial" w:hAnsi="Arial"/>
          <w:color w:val="555555"/>
          <w:sz w:val="20"/>
          <w:szCs w:val="20"/>
        </w:rPr>
        <w:t xml:space="preserve">  ·  Rutgers University, New Brunswick</w:t>
      </w:r>
      <w:r>
        <w:rPr>
          <w:rFonts w:ascii="Arial" w:cs="Arial" w:eastAsia="Arial" w:hAnsi="Arial"/>
          <w:color w:val="888888"/>
          <w:sz w:val="20"/>
          <w:szCs w:val="20"/>
        </w:rPr>
        <w:t xml:space="preserve">	2013 – 2017</w:t>
      </w:r>
    </w:p>
    <w:p>
      <w:pPr>
        <w:pBdr>
          <w:bottom w:val="single" w:color="006B6B" w:sz="4" w:space="4"/>
        </w:pBdr>
        <w:spacing w:after="60" w:before="220"/>
      </w:pPr>
      <w:r>
        <w:rPr>
          <w:rFonts w:ascii="Arial" w:cs="Arial" w:eastAsia="Arial" w:hAnsi="Arial"/>
          <w:b/>
          <w:bCs/>
          <w:color w:val="006B6B"/>
          <w:sz w:val="22"/>
          <w:szCs w:val="22"/>
        </w:rPr>
        <w:t xml:space="preserve">LANGUAGES</w:t>
      </w:r>
    </w:p>
    <w:p>
      <w:pPr>
        <w:spacing w:after="80" w:before="80"/>
      </w:pPr>
      <w:r>
        <w:rPr>
          <w:rFonts w:ascii="Arial" w:cs="Arial" w:eastAsia="Arial" w:hAnsi="Arial"/>
          <w:b/>
          <w:bCs/>
          <w:color w:val="000000"/>
          <w:sz w:val="20"/>
          <w:szCs w:val="20"/>
        </w:rPr>
        <w:t xml:space="preserve">English</w:t>
      </w:r>
      <w:r>
        <w:rPr>
          <w:rFonts w:ascii="Arial" w:cs="Arial" w:eastAsia="Arial" w:hAnsi="Arial"/>
          <w:color w:val="000000"/>
          <w:sz w:val="20"/>
          <w:szCs w:val="20"/>
        </w:rPr>
        <w:t xml:space="preserve"> — Native      </w:t>
      </w:r>
      <w:r>
        <w:rPr>
          <w:rFonts w:ascii="Arial" w:cs="Arial" w:eastAsia="Arial" w:hAnsi="Arial"/>
          <w:b/>
          <w:bCs/>
          <w:color w:val="000000"/>
          <w:sz w:val="20"/>
          <w:szCs w:val="20"/>
        </w:rPr>
        <w:t xml:space="preserve">French</w:t>
      </w:r>
      <w:r>
        <w:rPr>
          <w:rFonts w:ascii="Arial" w:cs="Arial" w:eastAsia="Arial" w:hAnsi="Arial"/>
          <w:color w:val="000000"/>
          <w:sz w:val="20"/>
          <w:szCs w:val="20"/>
        </w:rPr>
        <w:t xml:space="preserve"> — C1 Professional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2026-06-10T08:06:06.635Z</dcterms:created>
  <dcterms:modified xsi:type="dcterms:W3CDTF">2026-06-10T08:06:06.635Z</dcterms:modified>
</cp:coreProperties>
</file>

<file path=docProps/custom.xml><?xml version="1.0" encoding="utf-8"?>
<Properties xmlns="http://schemas.openxmlformats.org/officeDocument/2006/custom-properties" xmlns:vt="http://schemas.openxmlformats.org/officeDocument/2006/docPropsVTypes"/>
</file>