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1913"/>
          <w:sz w:val="44"/>
        </w:rPr>
        <w:t>PARALLAX — Master Idea Bank</w:t>
      </w:r>
    </w:p>
    <w:p>
      <w:r>
        <w:rPr>
          <w:i/>
          <w:color w:val="6B6253"/>
          <w:sz w:val="22"/>
        </w:rPr>
        <w:t>Everything parked, consolidated. Retirement-planning simulator for advisors.</w:t>
      </w:r>
    </w:p>
    <w:p>
      <w:r>
        <w:rPr>
          <w:color w:val="9A8F7C"/>
          <w:sz w:val="17"/>
        </w:rPr>
        <w:t>Generated 2026-06-03 · sources: ROADMAP.md + NOTES.md + CLAUDE.md · tags: NEXT · BIG (own session) · PARKED · SKIP · done</w:t>
      </w:r>
    </w:p>
    <w:p/>
    <w:p>
      <w:pPr>
        <w:pStyle w:val="Heading1"/>
      </w:pPr>
      <w:r>
        <w:rPr>
          <w:b/>
          <w:color w:val="B07D34"/>
          <w:sz w:val="28"/>
        </w:rPr>
        <w:t>1 · Engine — material gaps  (truth source)</w:t>
      </w:r>
    </w:p>
    <w:p>
      <w:r>
        <w:rPr>
          <w:i/>
          <w:color w:val="6B6253"/>
          <w:sz w:val="19"/>
        </w:rPr>
        <w:t>The single truth source. The UI never adds math — only views/levers of what the engine emits.</w:t>
      </w:r>
    </w:p>
    <w:p>
      <w:pPr>
        <w:pStyle w:val="ListBullet"/>
      </w:pPr>
      <w:r>
        <w:rPr>
          <w:b/>
          <w:color w:val="1D1913"/>
          <w:sz w:val="21"/>
        </w:rPr>
        <w:t>Real assets in engine</w:t>
      </w:r>
      <w:r>
        <w:rPr>
          <w:color w:val="332F29"/>
          <w:sz w:val="21"/>
        </w:rPr>
        <w:t xml:space="preserve"> — homes / property / business → “sell X to fund Y.”</w:t>
      </w:r>
      <w:r>
        <w:rPr>
          <w:b/>
          <w:color w:val="8A7C61"/>
          <w:sz w:val="16"/>
        </w:rPr>
        <w:t xml:space="preserve">  [BIG]</w:t>
      </w:r>
    </w:p>
    <w:p>
      <w:pPr>
        <w:pStyle w:val="ListBullet"/>
      </w:pPr>
      <w:r>
        <w:rPr>
          <w:b/>
          <w:color w:val="1D1913"/>
          <w:sz w:val="21"/>
        </w:rPr>
        <w:t>Tax-planning engine</w:t>
      </w:r>
      <w:r>
        <w:rPr>
          <w:color w:val="332F29"/>
          <w:sz w:val="21"/>
        </w:rPr>
        <w:t xml:space="preserve"> — Roth conversions, bracket management, IRMAA, RMDs, contribution-side deduction. Its own engine.</w:t>
      </w:r>
      <w:r>
        <w:rPr>
          <w:b/>
          <w:color w:val="8A7C61"/>
          <w:sz w:val="16"/>
        </w:rPr>
        <w:t xml:space="preserve">  [BIG]</w:t>
      </w:r>
    </w:p>
    <w:p>
      <w:pPr>
        <w:pStyle w:val="ListBullet"/>
      </w:pPr>
      <w:r>
        <w:rPr>
          <w:b/>
          <w:color w:val="1D1913"/>
          <w:sz w:val="21"/>
        </w:rPr>
        <w:t>Survivor SS benefits</w:t>
      </w:r>
      <w:r>
        <w:rPr>
          <w:color w:val="332F29"/>
          <w:sz w:val="21"/>
        </w:rPr>
        <w:t xml:space="preserve"> — widow step-up (~100% of deceased's); major couples lever, unmodeled.</w:t>
      </w:r>
    </w:p>
    <w:p>
      <w:pPr>
        <w:pStyle w:val="ListBullet"/>
      </w:pPr>
      <w:r>
        <w:rPr>
          <w:b/>
          <w:color w:val="1D1913"/>
          <w:sz w:val="21"/>
        </w:rPr>
        <w:t>Healthcare scales independently of lifestyle</w:t>
      </w:r>
      <w:r>
        <w:rPr>
          <w:color w:val="332F29"/>
          <w:sz w:val="21"/>
        </w:rPr>
        <w:t xml:space="preserve"> — spendMult currently scales medical too; skews Solve-For.</w:t>
      </w:r>
    </w:p>
    <w:p>
      <w:pPr>
        <w:pStyle w:val="ListBullet"/>
      </w:pPr>
      <w:r>
        <w:rPr>
          <w:b/>
          <w:color w:val="1D1913"/>
          <w:sz w:val="21"/>
        </w:rPr>
        <w:t>LTC cost escalation</w:t>
      </w:r>
      <w:r>
        <w:rPr>
          <w:color w:val="332F29"/>
          <w:sz w:val="21"/>
        </w:rPr>
        <w:t xml:space="preserve"> — ~3–5%/yr above CPI; currently flat real.</w:t>
      </w:r>
    </w:p>
    <w:p>
      <w:pPr>
        <w:pStyle w:val="ListBullet"/>
      </w:pPr>
      <w:r>
        <w:rPr>
          <w:b/>
          <w:color w:val="1D1913"/>
          <w:sz w:val="21"/>
        </w:rPr>
        <w:t>One-time inflow support</w:t>
      </w:r>
      <w:r>
        <w:rPr>
          <w:color w:val="332F29"/>
          <w:sz w:val="21"/>
        </w:rPr>
        <w:t xml:space="preserve"> — relocation / downsizing; current lumpSum is outflow-only.</w:t>
      </w:r>
    </w:p>
    <w:p>
      <w:pPr>
        <w:pStyle w:val="ListBullet"/>
      </w:pPr>
      <w:r>
        <w:rPr>
          <w:b/>
          <w:color w:val="1D1913"/>
          <w:sz w:val="21"/>
        </w:rPr>
        <w:t>Map the other engines</w:t>
      </w:r>
      <w:r>
        <w:rPr>
          <w:color w:val="332F29"/>
          <w:sz w:val="21"/>
        </w:rPr>
        <w:t xml:space="preserve"> — tax, estate… before building piecemeal.</w:t>
      </w:r>
    </w:p>
    <w:p>
      <w:pPr>
        <w:pStyle w:val="ListBullet"/>
      </w:pPr>
      <w:r>
        <w:rPr>
          <w:b/>
          <w:color w:val="1D1913"/>
          <w:sz w:val="21"/>
        </w:rPr>
        <w:t>Cleanup</w:t>
      </w:r>
      <w:r>
        <w:rPr>
          <w:color w:val="332F29"/>
          <w:sz w:val="21"/>
        </w:rPr>
        <w:t xml:space="preserve"> — ASSET_STATS[k].mean computed but unused — deletable.</w:t>
      </w:r>
    </w:p>
    <w:p>
      <w:pPr>
        <w:pStyle w:val="Heading1"/>
      </w:pPr>
      <w:r>
        <w:rPr>
          <w:b/>
          <w:color w:val="B07D34"/>
          <w:sz w:val="28"/>
        </w:rPr>
        <w:t>2 · Core differentiators — the moat  (BIG)</w:t>
      </w:r>
    </w:p>
    <w:p>
      <w:r>
        <w:rPr>
          <w:i/>
          <w:color w:val="6B6253"/>
          <w:sz w:val="19"/>
        </w:rPr>
        <w:t>The defensible layer: deterministic, explainable, multi-variable decision-solving — not “Monte Carlo + sliders.”</w:t>
      </w:r>
    </w:p>
    <w:p>
      <w:pPr>
        <w:pStyle w:val="ListBullet"/>
      </w:pPr>
      <w:r>
        <w:rPr>
          <w:b/>
          <w:color w:val="1D1913"/>
          <w:sz w:val="21"/>
        </w:rPr>
        <w:t>Solve-For mode</w:t>
      </w:r>
      <w:r>
        <w:rPr>
          <w:color w:val="332F29"/>
          <w:sz w:val="21"/>
        </w:rPr>
        <w:t xml:space="preserve"> — named life questions: ① “Can I retire earlier?” (build first) ② “Can we afford this big goal?” ③ (later) “Spend more?” On-demand (one engine job/click); output = a new scenario column; exactly one free lever.</w:t>
      </w:r>
      <w:r>
        <w:rPr>
          <w:b/>
          <w:color w:val="8A7C61"/>
          <w:sz w:val="16"/>
        </w:rPr>
        <w:t xml:space="preserve">  [NEXT-ish]</w:t>
      </w:r>
    </w:p>
    <w:p>
      <w:pPr>
        <w:pStyle w:val="ListBullet"/>
      </w:pPr>
      <w:r>
        <w:rPr>
          <w:b/>
          <w:color w:val="1D1913"/>
          <w:sz w:val="21"/>
        </w:rPr>
        <w:t>Explainable constraint solver</w:t>
      </w:r>
      <w:r>
        <w:rPr>
          <w:color w:val="332F29"/>
          <w:sz w:val="21"/>
        </w:rPr>
        <w:t xml:space="preserve"> — multi-variable search returning a small Pareto set of least-disruptive paths; auditable replay. Also fixes the solo-vs-combined display confusion.</w:t>
      </w:r>
    </w:p>
    <w:p>
      <w:pPr>
        <w:pStyle w:val="ListBullet"/>
      </w:pPr>
      <w:r>
        <w:rPr>
          <w:b/>
          <w:color w:val="1D1913"/>
          <w:sz w:val="21"/>
        </w:rPr>
        <w:t>Decision Surface heatmap</w:t>
      </w:r>
      <w:r>
        <w:rPr>
          <w:color w:val="332F29"/>
          <w:sz w:val="21"/>
        </w:rPr>
        <w:t xml:space="preserve"> — retire-age × spend, confidence contours, saved scenarios as clickable points. Best embodiment of “Parallax models interactions.” Alternate view in Scenarios.</w:t>
      </w:r>
    </w:p>
    <w:p>
      <w:pPr>
        <w:pStyle w:val="Heading1"/>
      </w:pPr>
      <w:r>
        <w:rPr>
          <w:b/>
          <w:color w:val="B07D34"/>
          <w:sz w:val="28"/>
        </w:rPr>
        <w:t>3 · High-value views of existing truth  (low lift)</w:t>
      </w:r>
    </w:p>
    <w:p>
      <w:r>
        <w:rPr>
          <w:i/>
          <w:color w:val="6B6253"/>
          <w:sz w:val="19"/>
        </w:rPr>
        <w:t>Mostly a VIEW of data the sims already emit — no new math.</w:t>
      </w:r>
    </w:p>
    <w:p>
      <w:pPr>
        <w:pStyle w:val="ListBullet"/>
      </w:pPr>
      <w:r>
        <w:rPr>
          <w:b/>
          <w:color w:val="1D1913"/>
          <w:sz w:val="21"/>
        </w:rPr>
        <w:t>Failure Anatomy</w:t>
      </w:r>
      <w:r>
        <w:rPr>
          <w:color w:val="332F29"/>
          <w:sz w:val="21"/>
        </w:rPr>
        <w:t xml:space="preserve"> — click a % ring → depletion-age histogram, earliest pressure year, success/depleted split, one representative failed path in the cash-flow drawer. Best ROI.</w:t>
      </w:r>
    </w:p>
    <w:p>
      <w:pPr>
        <w:pStyle w:val="ListBullet"/>
      </w:pPr>
      <w:r>
        <w:rPr>
          <w:b/>
          <w:color w:val="1D1913"/>
          <w:sz w:val="21"/>
        </w:rPr>
        <w:t>Scenario Receipt</w:t>
      </w:r>
      <w:r>
        <w:rPr>
          <w:color w:val="332F29"/>
          <w:sz w:val="21"/>
        </w:rPr>
        <w:t xml:space="preserve"> — per-scenario delta drawer (levers moved + confidence/median before→after + worst market). Meeting takeaway / export. Data, not prose.</w:t>
      </w:r>
    </w:p>
    <w:p>
      <w:pPr>
        <w:pStyle w:val="ListBullet"/>
      </w:pPr>
      <w:r>
        <w:rPr>
          <w:b/>
          <w:color w:val="1D1913"/>
          <w:sz w:val="21"/>
        </w:rPr>
        <w:t>Sequence Pressure Strip</w:t>
      </w:r>
      <w:r>
        <w:rPr>
          <w:color w:val="332F29"/>
          <w:sz w:val="21"/>
        </w:rPr>
        <w:t xml:space="preserve"> — first ~10 retirement years as cells (return / withdrawal / ending balance), cursor synced to chart + drawer. Explains why 1973 / 2000 hurt.</w:t>
      </w:r>
    </w:p>
    <w:p>
      <w:pPr>
        <w:pStyle w:val="ListBullet"/>
      </w:pPr>
      <w:r>
        <w:rPr>
          <w:b/>
          <w:color w:val="1D1913"/>
          <w:sz w:val="21"/>
        </w:rPr>
        <w:t>Funding Bridge / bridge-years</w:t>
      </w:r>
      <w:r>
        <w:rPr>
          <w:color w:val="332F29"/>
          <w:sz w:val="21"/>
        </w:rPr>
        <w:t xml:space="preserve"> — stacked age timeline of income layers; the pre-SS/pension gap.</w:t>
      </w:r>
    </w:p>
    <w:p>
      <w:pPr>
        <w:pStyle w:val="ListBullet"/>
      </w:pPr>
      <w:r>
        <w:rPr>
          <w:b/>
          <w:color w:val="1D1913"/>
          <w:sz w:val="21"/>
        </w:rPr>
        <w:t>Honest derived tiles</w:t>
      </w:r>
      <w:r>
        <w:rPr>
          <w:color w:val="332F29"/>
          <w:sz w:val="21"/>
        </w:rPr>
        <w:t xml:space="preserve"> — longevity buffer, max sustainable withdrawal %, “could retire at X.”</w:t>
      </w:r>
    </w:p>
    <w:p>
      <w:pPr>
        <w:pStyle w:val="ListBullet"/>
      </w:pPr>
      <w:r>
        <w:rPr>
          <w:b/>
          <w:color w:val="1D1913"/>
          <w:sz w:val="21"/>
        </w:rPr>
        <w:t>Confidence-by-year bars</w:t>
      </w:r>
      <w:r>
        <w:rPr>
          <w:color w:val="332F29"/>
          <w:sz w:val="21"/>
        </w:rPr>
        <w:t xml:space="preserve"> — + a single “Confidence Age” — only if it's real per-year data.</w:t>
      </w:r>
    </w:p>
    <w:p>
      <w:pPr>
        <w:pStyle w:val="Heading1"/>
      </w:pPr>
      <w:r>
        <w:rPr>
          <w:b/>
          <w:color w:val="B07D34"/>
          <w:sz w:val="28"/>
        </w:rPr>
        <w:t>4 · Scenarios / input model</w:t>
      </w:r>
    </w:p>
    <w:p>
      <w:pPr>
        <w:pStyle w:val="ListBullet"/>
      </w:pPr>
      <w:r>
        <w:rPr>
          <w:b/>
          <w:color w:val="1D1913"/>
          <w:sz w:val="21"/>
        </w:rPr>
        <w:t>Account-types picker</w:t>
      </w:r>
      <w:r>
        <w:rPr>
          <w:color w:val="332F29"/>
          <w:sz w:val="21"/>
        </w:rPr>
        <w:t xml:space="preserve"> — “+ add investment account” with type picker (401k/403b/457/SEP/SIMPLE/solo-401k → pre-tax).</w:t>
      </w:r>
      <w:r>
        <w:rPr>
          <w:b/>
          <w:color w:val="8A7C61"/>
          <w:sz w:val="16"/>
        </w:rPr>
        <w:t xml:space="preserve">  [mock built, awaiting OK]</w:t>
      </w:r>
    </w:p>
    <w:p>
      <w:pPr>
        <w:pStyle w:val="ListBullet"/>
      </w:pPr>
      <w:r>
        <w:rPr>
          <w:b/>
          <w:color w:val="1D1913"/>
          <w:sz w:val="21"/>
        </w:rPr>
        <w:t>Scenarios “shared-track” redesign</w:t>
      </w:r>
      <w:r>
        <w:rPr>
          <w:color w:val="332F29"/>
          <w:sz w:val="21"/>
        </w:rPr>
        <w:t xml:space="preserve"> — kill the 3-column repetition; one shared track per lever, dots split only on divergence. Approved-in-spirit.</w:t>
      </w:r>
      <w:r>
        <w:rPr>
          <w:b/>
          <w:color w:val="8A7C61"/>
          <w:sz w:val="16"/>
        </w:rPr>
        <w:t xml:space="preserve">  [BIG]</w:t>
      </w:r>
    </w:p>
    <w:p>
      <w:pPr>
        <w:pStyle w:val="ListBullet"/>
      </w:pPr>
      <w:r>
        <w:rPr>
          <w:b/>
          <w:color w:val="1D1913"/>
          <w:sz w:val="21"/>
        </w:rPr>
        <w:t>Pension claim-age analysis</w:t>
      </w:r>
      <w:r>
        <w:rPr>
          <w:color w:val="332F29"/>
          <w:sz w:val="21"/>
        </w:rPr>
        <w:t xml:space="preserve"> — sub-mode: claim-age sweep (62→70) + breakeven.</w:t>
      </w:r>
    </w:p>
    <w:p>
      <w:pPr>
        <w:pStyle w:val="ListBullet"/>
      </w:pPr>
      <w:r>
        <w:rPr>
          <w:b/>
          <w:color w:val="1D1913"/>
          <w:sz w:val="21"/>
        </w:rPr>
        <w:t>Real-assets input</w:t>
      </w:r>
      <w:r>
        <w:rPr>
          <w:color w:val="332F29"/>
          <w:sz w:val="21"/>
        </w:rPr>
        <w:t xml:space="preserve"> — Money Pro balance-details layout (pairs with engine real-assets).</w:t>
      </w:r>
    </w:p>
    <w:p>
      <w:pPr>
        <w:pStyle w:val="ListBullet"/>
      </w:pPr>
      <w:r>
        <w:rPr>
          <w:b/>
          <w:color w:val="1D1913"/>
          <w:sz w:val="21"/>
        </w:rPr>
        <w:t>“Duplicate scenario” action</w:t>
      </w:r>
      <w:r>
        <w:rPr>
          <w:color w:val="332F29"/>
          <w:sz w:val="21"/>
        </w:rPr>
        <w:t xml:space="preserve"> — distinct from Add.</w:t>
      </w:r>
    </w:p>
    <w:p>
      <w:pPr>
        <w:pStyle w:val="Heading1"/>
      </w:pPr>
      <w:r>
        <w:rPr>
          <w:b/>
          <w:color w:val="B07D34"/>
          <w:sz w:val="28"/>
        </w:rPr>
        <w:t>5 · Sequencing</w:t>
      </w:r>
    </w:p>
    <w:p>
      <w:pPr>
        <w:pStyle w:val="ListBullet"/>
      </w:pPr>
      <w:r>
        <w:rPr>
          <w:b/>
          <w:color w:val="1D1913"/>
          <w:sz w:val="21"/>
        </w:rPr>
        <w:t>Strategy Fork on one path</w:t>
      </w:r>
      <w:r>
        <w:rPr>
          <w:color w:val="332F29"/>
          <w:sz w:val="21"/>
        </w:rPr>
        <w:t xml:space="preserve"> — fix ONE market, compare strategies on it. Your #1 advisor function. Decide Scenarios-vs-Sequencing home first (overlap).</w:t>
      </w:r>
    </w:p>
    <w:p>
      <w:pPr>
        <w:pStyle w:val="ListBullet"/>
      </w:pPr>
      <w:r>
        <w:rPr>
          <w:b/>
          <w:color w:val="1D1913"/>
          <w:sz w:val="21"/>
        </w:rPr>
        <w:t>Recovery Tunnel</w:t>
      </w:r>
      <w:r>
        <w:rPr>
          <w:color w:val="332F29"/>
          <w:sz w:val="21"/>
        </w:rPr>
        <w:t xml:space="preserve"> — full years-underwater valley view.</w:t>
      </w:r>
    </w:p>
    <w:p>
      <w:pPr>
        <w:pStyle w:val="ListBullet"/>
      </w:pPr>
      <w:r>
        <w:rPr>
          <w:b/>
          <w:color w:val="1D1913"/>
          <w:sz w:val="21"/>
        </w:rPr>
        <w:t>Sequence Duration / damage-window labels</w:t>
      </w:r>
      <w:r>
        <w:rPr>
          <w:color w:val="332F29"/>
          <w:sz w:val="21"/>
        </w:rPr>
        <w:t xml:space="preserve"> — “short shock” (’08–09, V-shaped) vs “long grind” (’66 / ’73). A label, not new math.</w:t>
      </w:r>
    </w:p>
    <w:p>
      <w:pPr>
        <w:pStyle w:val="Heading1"/>
      </w:pPr>
      <w:r>
        <w:rPr>
          <w:b/>
          <w:color w:val="B07D34"/>
          <w:sz w:val="28"/>
        </w:rPr>
        <w:t>6 · This session's adds  (2026-06-03)</w:t>
      </w:r>
    </w:p>
    <w:p>
      <w:pPr>
        <w:pStyle w:val="ListBullet"/>
      </w:pPr>
      <w:r>
        <w:rPr>
          <w:b/>
          <w:color w:val="1D1913"/>
          <w:sz w:val="21"/>
        </w:rPr>
        <w:t>Home sale event + cap-gains on sale</w:t>
      </w:r>
      <w:r>
        <w:rPr>
          <w:color w:val="332F29"/>
          <w:sz w:val="21"/>
        </w:rPr>
        <w:t xml:space="preserve"> — proceeds = value − mortgage − cap-gains tax; needs the $250k/$500k-MFJ primary-residence exclusion + a capitalImprovements basis field. purchasePrice already captured &amp; inert. Extends “real assets.”</w:t>
      </w:r>
    </w:p>
    <w:p>
      <w:pPr>
        <w:pStyle w:val="ListBullet"/>
      </w:pPr>
      <w:r>
        <w:rPr>
          <w:b/>
          <w:color w:val="1D1913"/>
          <w:sz w:val="21"/>
        </w:rPr>
        <w:t>taxClass on income streams</w:t>
      </w:r>
      <w:r>
        <w:rPr>
          <w:color w:val="332F29"/>
          <w:sz w:val="21"/>
        </w:rPr>
        <w:t xml:space="preserve"> — ordinary / tax-free / cap-gains; today all other income is flat ordinary. An engine field, not a label.</w:t>
      </w:r>
    </w:p>
    <w:p>
      <w:pPr>
        <w:pStyle w:val="ListBullet"/>
      </w:pPr>
      <w:r>
        <w:rPr>
          <w:b/>
          <w:color w:val="1D1913"/>
          <w:sz w:val="21"/>
        </w:rPr>
        <w:t>Sustainable-withdrawal solve</w:t>
      </w:r>
      <w:r>
        <w:rPr>
          <w:color w:val="332F29"/>
          <w:sz w:val="21"/>
        </w:rPr>
        <w:t xml:space="preserve"> — back into a safe annual portfolio draw, framed as “sustainable withdrawal,” not income.</w:t>
      </w:r>
    </w:p>
    <w:p>
      <w:pPr>
        <w:pStyle w:val="ListBullet"/>
      </w:pPr>
      <w:r>
        <w:rPr>
          <w:b/>
          <w:color w:val="1D1913"/>
          <w:sz w:val="21"/>
        </w:rPr>
        <w:t>Income-stream COLA</w:t>
      </w:r>
      <w:r>
        <w:rPr>
          <w:color w:val="332F29"/>
          <w:sz w:val="21"/>
        </w:rPr>
        <w:t xml:space="preserve"> — variable income is flat-real today; let fixed annuities erode.</w:t>
      </w:r>
    </w:p>
    <w:p>
      <w:pPr>
        <w:pStyle w:val="ListBullet"/>
      </w:pPr>
      <w:r>
        <w:rPr>
          <w:b/>
          <w:color w:val="1D1913"/>
          <w:sz w:val="21"/>
        </w:rPr>
        <w:t>Rolling-period analysis</w:t>
      </w:r>
      <w:r>
        <w:rPr>
          <w:color w:val="332F29"/>
          <w:sz w:val="21"/>
        </w:rPr>
        <w:t xml:space="preserve"> — extended block bootstrap — sweep every real contiguous historical window, not just the named Sequencing years.</w:t>
      </w:r>
    </w:p>
    <w:p>
      <w:pPr>
        <w:pStyle w:val="ListBullet"/>
      </w:pPr>
      <w:r>
        <w:rPr>
          <w:b/>
          <w:color w:val="1D1913"/>
          <w:sz w:val="21"/>
        </w:rPr>
        <w:t>Goals page — interesting layout</w:t>
      </w:r>
      <w:r>
        <w:rPr>
          <w:color w:val="332F29"/>
          <w:sz w:val="21"/>
        </w:rPr>
        <w:t xml:space="preserve"> — not the ledger style. End-date windows already built; visual redesign pinned.</w:t>
      </w:r>
    </w:p>
    <w:p>
      <w:pPr>
        <w:pStyle w:val="Heading1"/>
      </w:pPr>
      <w:r>
        <w:rPr>
          <w:b/>
          <w:color w:val="B07D34"/>
          <w:sz w:val="28"/>
        </w:rPr>
        <w:t>7 · Future surfaces / views</w:t>
      </w:r>
    </w:p>
    <w:p>
      <w:pPr>
        <w:pStyle w:val="ListBullet"/>
      </w:pPr>
      <w:r>
        <w:rPr>
          <w:b/>
          <w:color w:val="1D1913"/>
          <w:sz w:val="21"/>
        </w:rPr>
        <w:t>Comprehensive plan view (read-only)</w:t>
      </w:r>
      <w:r>
        <w:rPr>
          <w:color w:val="332F29"/>
          <w:sz w:val="21"/>
        </w:rPr>
        <w:t xml:space="preserve"> — the whole plan as a presentation-grade client deliverable. Edits stay on input pages.</w:t>
      </w:r>
    </w:p>
    <w:p>
      <w:pPr>
        <w:pStyle w:val="ListBullet"/>
      </w:pPr>
      <w:r>
        <w:rPr>
          <w:b/>
          <w:color w:val="1D1913"/>
          <w:sz w:val="21"/>
        </w:rPr>
        <w:t>Prospect-level view</w:t>
      </w:r>
      <w:r>
        <w:rPr>
          <w:color w:val="332F29"/>
          <w:sz w:val="21"/>
        </w:rPr>
        <w:t xml:space="preserve"> — a lighter “quick illustration” tier for prospects/sales (a reduced view of the same engine).</w:t>
      </w:r>
    </w:p>
    <w:p>
      <w:pPr>
        <w:pStyle w:val="ListBullet"/>
      </w:pPr>
      <w:r>
        <w:rPr>
          <w:b/>
          <w:color w:val="1D1913"/>
          <w:sz w:val="21"/>
        </w:rPr>
        <w:t>Investment comparisons</w:t>
      </w:r>
      <w:r>
        <w:rPr>
          <w:color w:val="332F29"/>
          <w:sz w:val="21"/>
        </w:rPr>
        <w:t xml:space="preserve"> — proposed-vs-current / efficient-frontier. ⚠ overlaps Scenarios — pin the distinct angle first.</w:t>
      </w:r>
    </w:p>
    <w:p>
      <w:pPr>
        <w:pStyle w:val="Heading1"/>
      </w:pPr>
      <w:r>
        <w:rPr>
          <w:b/>
          <w:color w:val="B07D34"/>
          <w:sz w:val="28"/>
        </w:rPr>
        <w:t>8 · Smaller wins / hygiene</w:t>
      </w:r>
    </w:p>
    <w:p>
      <w:pPr>
        <w:pStyle w:val="ListBullet"/>
      </w:pPr>
      <w:r>
        <w:rPr>
          <w:b/>
          <w:color w:val="1D1913"/>
          <w:sz w:val="21"/>
        </w:rPr>
        <w:t>Rename “Net Worth” tab → “Plan” / “Household”</w:t>
      </w:r>
      <w:r>
        <w:rPr>
          <w:color w:val="332F29"/>
          <w:sz w:val="21"/>
        </w:rPr>
        <w:t xml:space="preserve"> — now holds cash flow / goals / snapshot. Quick win.</w:t>
      </w:r>
    </w:p>
    <w:p>
      <w:pPr>
        <w:pStyle w:val="ListBullet"/>
      </w:pPr>
      <w:r>
        <w:rPr>
          <w:b/>
          <w:color w:val="1D1913"/>
          <w:sz w:val="21"/>
        </w:rPr>
        <w:t>Codify visual grammar</w:t>
      </w:r>
      <w:r>
        <w:rPr>
          <w:color w:val="332F29"/>
          <w:sz w:val="21"/>
        </w:rPr>
        <w:t xml:space="preserve"> — dashed underline = editable; solid = result; brass = selected/caution; clay = pressure; teal = baseline. Write it down.</w:t>
      </w:r>
    </w:p>
    <w:p>
      <w:pPr>
        <w:pStyle w:val="ListBullet"/>
      </w:pPr>
      <w:r>
        <w:rPr>
          <w:b/>
          <w:color w:val="1D1913"/>
          <w:sz w:val="21"/>
        </w:rPr>
        <w:t>Assumption ledger</w:t>
      </w:r>
      <w:r>
        <w:rPr>
          <w:color w:val="332F29"/>
          <w:sz w:val="21"/>
        </w:rPr>
        <w:t xml:space="preserve"> — Entered / Derived / Simulated / Historical tags. ⚠ must NOT become the rejected “needs-review” machinery.</w:t>
      </w:r>
    </w:p>
    <w:p>
      <w:pPr>
        <w:pStyle w:val="Heading1"/>
      </w:pPr>
      <w:r>
        <w:rPr>
          <w:b/>
          <w:color w:val="B07D34"/>
          <w:sz w:val="28"/>
        </w:rPr>
        <w:t>9 · Open decisions</w:t>
      </w:r>
    </w:p>
    <w:p>
      <w:pPr>
        <w:pStyle w:val="ListBullet"/>
      </w:pPr>
      <w:r>
        <w:rPr>
          <w:b/>
          <w:color w:val="1D1913"/>
          <w:sz w:val="21"/>
        </w:rPr>
        <w:t>Demo mortgage</w:t>
      </w:r>
      <w:r>
        <w:rPr>
          <w:color w:val="332F29"/>
          <w:sz w:val="21"/>
        </w:rPr>
        <w:t xml:space="preserve"> — keep (baseline 84.9%) vs strip to a paid-off house (~86.5%)?</w:t>
      </w:r>
    </w:p>
    <w:p>
      <w:pPr>
        <w:pStyle w:val="ListBullet"/>
      </w:pPr>
      <w:r>
        <w:rPr>
          <w:b/>
          <w:color w:val="1D1913"/>
          <w:sz w:val="21"/>
        </w:rPr>
        <w:t>Net Worth layout</w:t>
      </w:r>
      <w:r>
        <w:rPr>
          <w:color w:val="332F29"/>
          <w:sz w:val="21"/>
        </w:rPr>
        <w:t xml:space="preserve"> — make Assets the wider column (Liabilities is often sparse)?</w:t>
      </w:r>
    </w:p>
    <w:p>
      <w:pPr>
        <w:pStyle w:val="ListBullet"/>
      </w:pPr>
      <w:r>
        <w:rPr>
          <w:b/>
          <w:color w:val="1D1913"/>
          <w:sz w:val="21"/>
        </w:rPr>
        <w:t>SS framing</w:t>
      </w:r>
      <w:r>
        <w:rPr>
          <w:color w:val="332F29"/>
          <w:sz w:val="21"/>
        </w:rPr>
        <w:t xml:space="preserve"> — lifetime-dollars trade-off vs the % circle (weak % mover for high-spend households).</w:t>
      </w:r>
    </w:p>
    <w:p>
      <w:pPr>
        <w:pStyle w:val="ListBullet"/>
      </w:pPr>
      <w:r>
        <w:rPr>
          <w:b/>
          <w:color w:val="1D1913"/>
          <w:sz w:val="21"/>
        </w:rPr>
        <w:t>Solve-For display</w:t>
      </w:r>
      <w:r>
        <w:rPr>
          <w:color w:val="332F29"/>
          <w:sz w:val="21"/>
        </w:rPr>
        <w:t xml:space="preserve"> — solo-vs-combined so an advisor can't misread the column %.</w:t>
      </w:r>
    </w:p>
    <w:p>
      <w:pPr>
        <w:pStyle w:val="ListBullet"/>
      </w:pPr>
      <w:r>
        <w:rPr>
          <w:b/>
          <w:color w:val="1D1913"/>
          <w:sz w:val="21"/>
        </w:rPr>
        <w:t>Liabilities</w:t>
      </w:r>
      <w:r>
        <w:rPr>
          <w:color w:val="332F29"/>
          <w:sz w:val="21"/>
        </w:rPr>
        <w:t xml:space="preserve"> — base-plan input vs per-scenario construct.</w:t>
      </w:r>
    </w:p>
    <w:p>
      <w:pPr>
        <w:pStyle w:val="ListBullet"/>
      </w:pPr>
      <w:r>
        <w:rPr>
          <w:b/>
          <w:color w:val="1D1913"/>
          <w:sz w:val="21"/>
        </w:rPr>
        <w:t>Strategy Fork</w:t>
      </w:r>
      <w:r>
        <w:rPr>
          <w:color w:val="332F29"/>
          <w:sz w:val="21"/>
        </w:rPr>
        <w:t xml:space="preserve"> — Sequencing feature or Scenarios feature?</w:t>
      </w:r>
    </w:p>
    <w:p>
      <w:pPr>
        <w:pStyle w:val="Heading1"/>
      </w:pPr>
      <w:r>
        <w:rPr>
          <w:b/>
          <w:color w:val="B07D34"/>
          <w:sz w:val="28"/>
        </w:rPr>
        <w:t>10 · Skip / do-not-relitigate  (logged on purpose)</w:t>
      </w:r>
    </w:p>
    <w:p>
      <w:pPr>
        <w:pStyle w:val="ListBullet"/>
      </w:pPr>
      <w:r>
        <w:rPr>
          <w:b/>
          <w:color w:val="1D1913"/>
          <w:sz w:val="21"/>
        </w:rPr>
        <w:t>Cash-flow River / Sankey</w:t>
      </w:r>
      <w:r>
        <w:rPr>
          <w:color w:val="332F29"/>
          <w:sz w:val="21"/>
        </w:rPr>
        <w:t xml:space="preserve"> — decorative, no new interaction.</w:t>
      </w:r>
    </w:p>
    <w:p>
      <w:pPr>
        <w:pStyle w:val="ListBullet"/>
      </w:pPr>
      <w:r>
        <w:rPr>
          <w:b/>
          <w:color w:val="1D1913"/>
          <w:sz w:val="21"/>
        </w:rPr>
        <w:t>Resilience Matrix as a new tab</w:t>
      </w:r>
      <w:r>
        <w:rPr>
          <w:color w:val="332F29"/>
          <w:sz w:val="21"/>
        </w:rPr>
        <w:t xml:space="preserve"> — old Stress Test reincarnated; salvage only the click-to-clone link.</w:t>
      </w:r>
    </w:p>
    <w:p>
      <w:pPr>
        <w:pStyle w:val="ListBullet"/>
      </w:pPr>
      <w:r>
        <w:rPr>
          <w:b/>
          <w:color w:val="1D1913"/>
          <w:sz w:val="21"/>
        </w:rPr>
        <w:t>Rebrand away from “Parallax”</w:t>
      </w:r>
      <w:r>
        <w:rPr>
          <w:color w:val="332F29"/>
          <w:sz w:val="21"/>
        </w:rPr>
        <w:t xml:space="preserve"> — business decision, not engineering.</w:t>
      </w:r>
    </w:p>
    <w:p>
      <w:pPr>
        <w:pStyle w:val="ListBullet"/>
      </w:pPr>
      <w:r>
        <w:rPr>
          <w:b/>
          <w:color w:val="1D1913"/>
          <w:sz w:val="21"/>
        </w:rPr>
        <w:t>Reversed-sequence view</w:t>
      </w:r>
      <w:r>
        <w:rPr>
          <w:color w:val="332F29"/>
          <w:sz w:val="21"/>
        </w:rPr>
        <w:t xml:space="preserve"> — killed (a timeline that never happened).</w:t>
      </w:r>
    </w:p>
    <w:p>
      <w:pPr>
        <w:pStyle w:val="ListBullet"/>
      </w:pPr>
      <w:r>
        <w:rPr>
          <w:b/>
          <w:color w:val="1D1913"/>
          <w:sz w:val="21"/>
        </w:rPr>
        <w:t>Allocation as a solve lever</w:t>
      </w:r>
      <w:r>
        <w:rPr>
          <w:color w:val="332F29"/>
          <w:sz w:val="21"/>
        </w:rPr>
        <w:t xml:space="preserve"> — re-add only with deliberate framing.</w:t>
      </w:r>
    </w:p>
    <w:p/>
    <w:p>
      <w:r>
        <w:rPr>
          <w:b/>
          <w:color w:val="B07D34"/>
          <w:sz w:val="19"/>
        </w:rPr>
        <w:t xml:space="preserve">Standing doctrine.  </w:t>
      </w:r>
      <w:r>
        <w:rPr>
          <w:i/>
          <w:color w:val="6B6253"/>
          <w:sz w:val="19"/>
        </w:rPr>
        <w:t>Make requirements less dumb → delete before adding → simplify → cut beats refactor. The engine is the single truth source; the UI only changes views/levers, never the math. Green is allowed — no mint. Mock visual changes first. Verify by looking. Push to both the working branch and main.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