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D1913"/>
          <w:sz w:val="44"/>
        </w:rPr>
        <w:t>PARALLAX — Idea Bank</w:t>
      </w:r>
    </w:p>
    <w:p>
      <w:r>
        <w:rPr>
          <w:i/>
          <w:color w:val="6B6253"/>
          <w:sz w:val="22"/>
        </w:rPr>
        <w:t>Everything we've parked, in plain language. One line per idea.</w:t>
      </w:r>
    </w:p>
    <w:p>
      <w:r>
        <w:rPr>
          <w:color w:val="9A8F7C"/>
          <w:sz w:val="17"/>
        </w:rPr>
        <w:t>Updated 2026-06-03 · tags: BIG = its own session · NEXT = build soon · MOCK = waiting your OK</w:t>
      </w:r>
    </w:p>
    <w:p/>
    <w:p>
      <w:pPr>
        <w:pStyle w:val="Heading1"/>
      </w:pPr>
      <w:r>
        <w:rPr>
          <w:b/>
          <w:color w:val="B07D34"/>
          <w:sz w:val="28"/>
        </w:rPr>
        <w:t>1 · Math the engine can't do yet</w:t>
      </w:r>
    </w:p>
    <w:p>
      <w:pPr>
        <w:pStyle w:val="ListBullet"/>
      </w:pPr>
      <w:r>
        <w:rPr>
          <w:b/>
          <w:color w:val="1D1913"/>
          <w:sz w:val="21"/>
        </w:rPr>
        <w:t>Own your home &amp; property</w:t>
      </w:r>
      <w:r>
        <w:rPr>
          <w:color w:val="332F29"/>
          <w:sz w:val="21"/>
        </w:rPr>
        <w:t xml:space="preserve"> — model the house/business so you can show “sell this to pay for that.”</w:t>
      </w:r>
      <w:r>
        <w:rPr>
          <w:b/>
          <w:color w:val="8A7C61"/>
          <w:sz w:val="16"/>
        </w:rPr>
        <w:t xml:space="preserve">  [BIG]</w:t>
      </w:r>
    </w:p>
    <w:p>
      <w:pPr>
        <w:pStyle w:val="ListBullet"/>
      </w:pPr>
      <w:r>
        <w:rPr>
          <w:b/>
          <w:color w:val="1D1913"/>
          <w:sz w:val="21"/>
        </w:rPr>
        <w:t>Tax planning</w:t>
      </w:r>
      <w:r>
        <w:rPr>
          <w:color w:val="332F29"/>
          <w:sz w:val="21"/>
        </w:rPr>
        <w:t xml:space="preserve"> — Roth conversions, tax brackets, IRMAA, required withdrawals. A whole separate engine.</w:t>
      </w:r>
      <w:r>
        <w:rPr>
          <w:b/>
          <w:color w:val="8A7C61"/>
          <w:sz w:val="16"/>
        </w:rPr>
        <w:t xml:space="preserve">  [BIG]</w:t>
      </w:r>
    </w:p>
    <w:p>
      <w:pPr>
        <w:pStyle w:val="ListBullet"/>
      </w:pPr>
      <w:r>
        <w:rPr>
          <w:b/>
          <w:color w:val="1D1913"/>
          <w:sz w:val="21"/>
        </w:rPr>
        <w:t>Survivor Social Security</w:t>
      </w:r>
      <w:r>
        <w:rPr>
          <w:color w:val="332F29"/>
          <w:sz w:val="21"/>
        </w:rPr>
        <w:t xml:space="preserve"> — when one spouse dies, the other keeps the bigger check. Big for couples; not modeled.</w:t>
      </w:r>
    </w:p>
    <w:p>
      <w:pPr>
        <w:pStyle w:val="ListBullet"/>
      </w:pPr>
      <w:r>
        <w:rPr>
          <w:b/>
          <w:color w:val="1D1913"/>
          <w:sz w:val="21"/>
        </w:rPr>
        <w:t>Separate healthcare from lifestyle</w:t>
      </w:r>
      <w:r>
        <w:rPr>
          <w:color w:val="332F29"/>
          <w:sz w:val="21"/>
        </w:rPr>
        <w:t xml:space="preserve"> — today, cutting spending also cuts medical — which isn't real.</w:t>
      </w:r>
    </w:p>
    <w:p>
      <w:pPr>
        <w:pStyle w:val="ListBullet"/>
      </w:pPr>
      <w:r>
        <w:rPr>
          <w:b/>
          <w:color w:val="1D1913"/>
          <w:sz w:val="21"/>
        </w:rPr>
        <w:t>Care costs that climb</w:t>
      </w:r>
      <w:r>
        <w:rPr>
          <w:color w:val="332F29"/>
          <w:sz w:val="21"/>
        </w:rPr>
        <w:t xml:space="preserve"> — long-term care rises faster than normal inflation; today it's flat.</w:t>
      </w:r>
    </w:p>
    <w:p>
      <w:pPr>
        <w:pStyle w:val="ListBullet"/>
      </w:pPr>
      <w:r>
        <w:rPr>
          <w:b/>
          <w:color w:val="1D1913"/>
          <w:sz w:val="21"/>
        </w:rPr>
        <w:t>Money coming IN once</w:t>
      </w:r>
      <w:r>
        <w:rPr>
          <w:color w:val="332F29"/>
          <w:sz w:val="21"/>
        </w:rPr>
        <w:t xml:space="preserve"> — downsizing or a sale adds cash; today the tool only handles money going out.</w:t>
      </w:r>
    </w:p>
    <w:p>
      <w:pPr>
        <w:pStyle w:val="ListBullet"/>
      </w:pPr>
      <w:r>
        <w:rPr>
          <w:b/>
          <w:color w:val="1D1913"/>
          <w:sz w:val="21"/>
        </w:rPr>
        <w:t>Plan the other engines</w:t>
      </w:r>
      <w:r>
        <w:rPr>
          <w:color w:val="332F29"/>
          <w:sz w:val="21"/>
        </w:rPr>
        <w:t xml:space="preserve"> — tax, estate — sketch them before building piece by piece.</w:t>
      </w:r>
    </w:p>
    <w:p>
      <w:pPr>
        <w:pStyle w:val="Heading1"/>
      </w:pPr>
      <w:r>
        <w:rPr>
          <w:b/>
          <w:color w:val="B07D34"/>
          <w:sz w:val="28"/>
        </w:rPr>
        <w:t>2 · What makes Parallax different</w:t>
      </w:r>
    </w:p>
    <w:p>
      <w:r>
        <w:rPr>
          <w:i/>
          <w:color w:val="6B6253"/>
          <w:sz w:val="19"/>
        </w:rPr>
        <w:t>Most tools just move sliders and watch a number. This is the part competitors can't copy.</w:t>
      </w:r>
    </w:p>
    <w:p>
      <w:pPr>
        <w:pStyle w:val="ListBullet"/>
      </w:pPr>
      <w:r>
        <w:rPr>
          <w:b/>
          <w:color w:val="1D1913"/>
          <w:sz w:val="21"/>
        </w:rPr>
        <w:t>Answer the client's question</w:t>
      </w:r>
      <w:r>
        <w:rPr>
          <w:color w:val="332F29"/>
          <w:sz w:val="21"/>
        </w:rPr>
        <w:t xml:space="preserve"> — instead of guessing, they ask “Can I retire earlier?” and the tool finds the answer and drops it in as a new column.</w:t>
      </w:r>
      <w:r>
        <w:rPr>
          <w:b/>
          <w:color w:val="8A7C61"/>
          <w:sz w:val="16"/>
        </w:rPr>
        <w:t xml:space="preserve">  [NEXT]</w:t>
      </w:r>
    </w:p>
    <w:p>
      <w:pPr>
        <w:pStyle w:val="ListBullet"/>
      </w:pPr>
      <w:r>
        <w:rPr>
          <w:b/>
          <w:color w:val="1D1913"/>
          <w:sz w:val="21"/>
        </w:rPr>
        <w:t>Show the realistic combos</w:t>
      </w:r>
      <w:r>
        <w:rPr>
          <w:color w:val="332F29"/>
          <w:sz w:val="21"/>
        </w:rPr>
        <w:t xml:space="preserve"> — when one change isn't enough: “retire at 62 if you spend $850/mo less, OR save more and claim SS later.”</w:t>
      </w:r>
    </w:p>
    <w:p>
      <w:pPr>
        <w:pStyle w:val="ListBullet"/>
      </w:pPr>
      <w:r>
        <w:rPr>
          <w:b/>
          <w:color w:val="1D1913"/>
          <w:sz w:val="21"/>
        </w:rPr>
        <w:t>The decision map</w:t>
      </w:r>
      <w:r>
        <w:rPr>
          <w:color w:val="332F29"/>
          <w:sz w:val="21"/>
        </w:rPr>
        <w:t xml:space="preserve"> — one picture of every retirement-age × spending combo, colored by confidence. Click a spot to make it a scenario.</w:t>
      </w:r>
    </w:p>
    <w:p>
      <w:pPr>
        <w:pStyle w:val="Heading1"/>
      </w:pPr>
      <w:r>
        <w:rPr>
          <w:b/>
          <w:color w:val="B07D34"/>
          <w:sz w:val="28"/>
        </w:rPr>
        <w:t>3 · Easy wins — just show what's already in the numbers</w:t>
      </w:r>
    </w:p>
    <w:p>
      <w:pPr>
        <w:pStyle w:val="ListBullet"/>
      </w:pPr>
      <w:r>
        <w:rPr>
          <w:b/>
          <w:color w:val="1D1913"/>
          <w:sz w:val="21"/>
        </w:rPr>
        <w:t>Why it fails</w:t>
      </w:r>
      <w:r>
        <w:rPr>
          <w:color w:val="332F29"/>
          <w:sz w:val="21"/>
        </w:rPr>
        <w:t xml:space="preserve"> — click the % and see when the money runs out and which years are tightest.</w:t>
      </w:r>
    </w:p>
    <w:p>
      <w:pPr>
        <w:pStyle w:val="ListBullet"/>
      </w:pPr>
      <w:r>
        <w:rPr>
          <w:b/>
          <w:color w:val="1D1913"/>
          <w:sz w:val="21"/>
        </w:rPr>
        <w:t>Meeting summary</w:t>
      </w:r>
      <w:r>
        <w:rPr>
          <w:color w:val="332F29"/>
          <w:sz w:val="21"/>
        </w:rPr>
        <w:t xml:space="preserve"> — a clean one-pager of what changed and what it did — the thing you hand the client.</w:t>
      </w:r>
    </w:p>
    <w:p>
      <w:pPr>
        <w:pStyle w:val="ListBullet"/>
      </w:pPr>
      <w:r>
        <w:rPr>
          <w:b/>
          <w:color w:val="1D1913"/>
          <w:sz w:val="21"/>
        </w:rPr>
        <w:t>The danger years</w:t>
      </w:r>
      <w:r>
        <w:rPr>
          <w:color w:val="332F29"/>
          <w:sz w:val="21"/>
        </w:rPr>
        <w:t xml:space="preserve"> — the first 10 retirement years laid out, so you can see why retiring into 1973 or 2000 hurt.</w:t>
      </w:r>
    </w:p>
    <w:p>
      <w:pPr>
        <w:pStyle w:val="ListBullet"/>
      </w:pPr>
      <w:r>
        <w:rPr>
          <w:b/>
          <w:color w:val="1D1913"/>
          <w:sz w:val="21"/>
        </w:rPr>
        <w:t>The gap before Social Security</w:t>
      </w:r>
      <w:r>
        <w:rPr>
          <w:color w:val="332F29"/>
          <w:sz w:val="21"/>
        </w:rPr>
        <w:t xml:space="preserve"> — show the years the portfolio has to carry before SS/pension starts.</w:t>
      </w:r>
    </w:p>
    <w:p>
      <w:pPr>
        <w:pStyle w:val="ListBullet"/>
      </w:pPr>
      <w:r>
        <w:rPr>
          <w:b/>
          <w:color w:val="1D1913"/>
          <w:sz w:val="21"/>
        </w:rPr>
        <w:t>Plain-English tiles</w:t>
      </w:r>
      <w:r>
        <w:rPr>
          <w:color w:val="332F29"/>
          <w:sz w:val="21"/>
        </w:rPr>
        <w:t xml:space="preserve"> — “could retire at 58,” “safe to spend $X,” “14 years of cushion.”</w:t>
      </w:r>
    </w:p>
    <w:p>
      <w:pPr>
        <w:pStyle w:val="ListBullet"/>
      </w:pPr>
      <w:r>
        <w:rPr>
          <w:b/>
          <w:color w:val="1D1913"/>
          <w:sz w:val="21"/>
        </w:rPr>
        <w:t>Year-by-year confidence</w:t>
      </w:r>
      <w:r>
        <w:rPr>
          <w:color w:val="332F29"/>
          <w:sz w:val="21"/>
        </w:rPr>
        <w:t xml:space="preserve"> — green/yellow/red per year (only if it's real data).</w:t>
      </w:r>
    </w:p>
    <w:p>
      <w:pPr>
        <w:pStyle w:val="Heading1"/>
      </w:pPr>
      <w:r>
        <w:rPr>
          <w:b/>
          <w:color w:val="B07D34"/>
          <w:sz w:val="28"/>
        </w:rPr>
        <w:t>4 · Scenarios &amp; inputs</w:t>
      </w:r>
    </w:p>
    <w:p>
      <w:pPr>
        <w:pStyle w:val="ListBullet"/>
      </w:pPr>
      <w:r>
        <w:rPr>
          <w:b/>
          <w:color w:val="1D1913"/>
          <w:sz w:val="21"/>
        </w:rPr>
        <w:t>Add-account picker</w:t>
      </w:r>
      <w:r>
        <w:rPr>
          <w:color w:val="332F29"/>
          <w:sz w:val="21"/>
        </w:rPr>
        <w:t xml:space="preserve"> — 401k, IRA, Roth, etc. Built as a mock — waiting your OK to go live.</w:t>
      </w:r>
      <w:r>
        <w:rPr>
          <w:b/>
          <w:color w:val="8A7C61"/>
          <w:sz w:val="16"/>
        </w:rPr>
        <w:t xml:space="preserve">  [MOCK]</w:t>
      </w:r>
    </w:p>
    <w:p>
      <w:pPr>
        <w:pStyle w:val="ListBullet"/>
      </w:pPr>
      <w:r>
        <w:rPr>
          <w:b/>
          <w:color w:val="1D1913"/>
          <w:sz w:val="21"/>
        </w:rPr>
        <w:t>Cleaner scenario layout</w:t>
      </w:r>
      <w:r>
        <w:rPr>
          <w:color w:val="332F29"/>
          <w:sz w:val="21"/>
        </w:rPr>
        <w:t xml:space="preserve"> — stop repeating three identical columns; show one value, split only where they differ.</w:t>
      </w:r>
      <w:r>
        <w:rPr>
          <w:b/>
          <w:color w:val="8A7C61"/>
          <w:sz w:val="16"/>
        </w:rPr>
        <w:t xml:space="preserve">  [BIG]</w:t>
      </w:r>
    </w:p>
    <w:p>
      <w:pPr>
        <w:pStyle w:val="ListBullet"/>
      </w:pPr>
      <w:r>
        <w:rPr>
          <w:b/>
          <w:color w:val="1D1913"/>
          <w:sz w:val="21"/>
        </w:rPr>
        <w:t>Pension timing</w:t>
      </w:r>
      <w:r>
        <w:rPr>
          <w:color w:val="332F29"/>
          <w:sz w:val="21"/>
        </w:rPr>
        <w:t xml:space="preserve"> — sweep claim ages 62→70 and show the break-even.</w:t>
      </w:r>
    </w:p>
    <w:p>
      <w:pPr>
        <w:pStyle w:val="ListBullet"/>
      </w:pPr>
      <w:r>
        <w:rPr>
          <w:b/>
          <w:color w:val="1D1913"/>
          <w:sz w:val="21"/>
        </w:rPr>
        <w:t>Property input screen</w:t>
      </w:r>
      <w:r>
        <w:rPr>
          <w:color w:val="332F29"/>
          <w:sz w:val="21"/>
        </w:rPr>
        <w:t xml:space="preserve"> — where you enter homes and other real assets.</w:t>
      </w:r>
    </w:p>
    <w:p>
      <w:pPr>
        <w:pStyle w:val="ListBullet"/>
      </w:pPr>
      <w:r>
        <w:rPr>
          <w:b/>
          <w:color w:val="1D1913"/>
          <w:sz w:val="21"/>
        </w:rPr>
        <w:t>Duplicate a scenario</w:t>
      </w:r>
      <w:r>
        <w:rPr>
          <w:color w:val="332F29"/>
          <w:sz w:val="21"/>
        </w:rPr>
        <w:t xml:space="preserve"> — a copy button, separate from “Add.”</w:t>
      </w:r>
    </w:p>
    <w:p>
      <w:pPr>
        <w:pStyle w:val="Heading1"/>
      </w:pPr>
      <w:r>
        <w:rPr>
          <w:b/>
          <w:color w:val="B07D34"/>
          <w:sz w:val="28"/>
        </w:rPr>
        <w:t>5 · Sequencing — same plan, different markets</w:t>
      </w:r>
    </w:p>
    <w:p>
      <w:pPr>
        <w:pStyle w:val="ListBullet"/>
      </w:pPr>
      <w:r>
        <w:rPr>
          <w:b/>
          <w:color w:val="1D1913"/>
          <w:sz w:val="21"/>
        </w:rPr>
        <w:t>Test moves against one bad market</w:t>
      </w:r>
      <w:r>
        <w:rPr>
          <w:color w:val="332F29"/>
          <w:sz w:val="21"/>
        </w:rPr>
        <w:t xml:space="preserve"> — pick a tough year, then compare strategies on it. Your #1 use.</w:t>
      </w:r>
    </w:p>
    <w:p>
      <w:pPr>
        <w:pStyle w:val="ListBullet"/>
      </w:pPr>
      <w:r>
        <w:rPr>
          <w:b/>
          <w:color w:val="1D1913"/>
          <w:sz w:val="21"/>
        </w:rPr>
        <w:t>Years underwater</w:t>
      </w:r>
      <w:r>
        <w:rPr>
          <w:color w:val="332F29"/>
          <w:sz w:val="21"/>
        </w:rPr>
        <w:t xml:space="preserve"> — how long a plan stays below where it started — even when it survives.</w:t>
      </w:r>
    </w:p>
    <w:p>
      <w:pPr>
        <w:pStyle w:val="ListBullet"/>
      </w:pPr>
      <w:r>
        <w:rPr>
          <w:b/>
          <w:color w:val="1D1913"/>
          <w:sz w:val="21"/>
        </w:rPr>
        <w:t>Name each crash</w:t>
      </w:r>
      <w:r>
        <w:rPr>
          <w:color w:val="332F29"/>
          <w:sz w:val="21"/>
        </w:rPr>
        <w:t xml:space="preserve"> — “short shock” (2008, bounces back) vs “long grind” (1966/1973, slow bleed).</w:t>
      </w:r>
    </w:p>
    <w:p>
      <w:pPr>
        <w:pStyle w:val="Heading1"/>
      </w:pPr>
      <w:r>
        <w:rPr>
          <w:b/>
          <w:color w:val="B07D34"/>
          <w:sz w:val="28"/>
        </w:rPr>
        <w:t>6 · Added this session</w:t>
      </w:r>
    </w:p>
    <w:p>
      <w:pPr>
        <w:pStyle w:val="ListBullet"/>
      </w:pPr>
      <w:r>
        <w:rPr>
          <w:b/>
          <w:color w:val="1D1913"/>
          <w:sz w:val="21"/>
        </w:rPr>
        <w:t>Sell-the-home event</w:t>
      </w:r>
      <w:r>
        <w:rPr>
          <w:color w:val="332F29"/>
          <w:sz w:val="21"/>
        </w:rPr>
        <w:t xml:space="preserve"> — when sold: price minus mortgage minus tax. Include the $250k/$500k home-sale tax break and improvements. (Purchase price already saved.)</w:t>
      </w:r>
    </w:p>
    <w:p>
      <w:pPr>
        <w:pStyle w:val="ListBullet"/>
      </w:pPr>
      <w:r>
        <w:rPr>
          <w:b/>
          <w:color w:val="1D1913"/>
          <w:sz w:val="21"/>
        </w:rPr>
        <w:t>Tax type per income</w:t>
      </w:r>
      <w:r>
        <w:rPr>
          <w:color w:val="332F29"/>
          <w:sz w:val="21"/>
        </w:rPr>
        <w:t xml:space="preserve"> — mark income taxable, tax-free, or capital-gains; today it's all taxed the same.</w:t>
      </w:r>
    </w:p>
    <w:p>
      <w:pPr>
        <w:pStyle w:val="ListBullet"/>
      </w:pPr>
      <w:r>
        <w:rPr>
          <w:b/>
          <w:color w:val="1D1913"/>
          <w:sz w:val="21"/>
        </w:rPr>
        <w:t>Safe-withdrawal solver</w:t>
      </w:r>
      <w:r>
        <w:rPr>
          <w:color w:val="332F29"/>
          <w:sz w:val="21"/>
        </w:rPr>
        <w:t xml:space="preserve"> — work out a sustainable yearly draw — and call it that, not “income.”</w:t>
      </w:r>
    </w:p>
    <w:p>
      <w:pPr>
        <w:pStyle w:val="ListBullet"/>
      </w:pPr>
      <w:r>
        <w:rPr>
          <w:b/>
          <w:color w:val="1D1913"/>
          <w:sz w:val="21"/>
        </w:rPr>
        <w:t>Income that fades</w:t>
      </w:r>
      <w:r>
        <w:rPr>
          <w:color w:val="332F29"/>
          <w:sz w:val="21"/>
        </w:rPr>
        <w:t xml:space="preserve"> — let fixed annuities lose value to inflation like they really do.</w:t>
      </w:r>
    </w:p>
    <w:p>
      <w:pPr>
        <w:pStyle w:val="ListBullet"/>
      </w:pPr>
      <w:r>
        <w:rPr>
          <w:b/>
          <w:color w:val="1D1913"/>
          <w:sz w:val="21"/>
        </w:rPr>
        <w:t>Run every year of history</w:t>
      </w:r>
      <w:r>
        <w:rPr>
          <w:color w:val="332F29"/>
          <w:sz w:val="21"/>
        </w:rPr>
        <w:t xml:space="preserve"> — test the plan against every real start year, not just a chosen few.</w:t>
      </w:r>
    </w:p>
    <w:p>
      <w:pPr>
        <w:pStyle w:val="ListBullet"/>
      </w:pPr>
      <w:r>
        <w:rPr>
          <w:b/>
          <w:color w:val="1D1913"/>
          <w:sz w:val="21"/>
        </w:rPr>
        <w:t>Nicer Goals page</w:t>
      </w:r>
      <w:r>
        <w:rPr>
          <w:color w:val="332F29"/>
          <w:sz w:val="21"/>
        </w:rPr>
        <w:t xml:space="preserve"> — end-dates are done; the better-looking layout is pinned for later.</w:t>
      </w:r>
    </w:p>
    <w:p>
      <w:pPr>
        <w:pStyle w:val="Heading1"/>
      </w:pPr>
      <w:r>
        <w:rPr>
          <w:b/>
          <w:color w:val="B07D34"/>
          <w:sz w:val="28"/>
        </w:rPr>
        <w:t>7 · Future screens</w:t>
      </w:r>
    </w:p>
    <w:p>
      <w:pPr>
        <w:pStyle w:val="ListBullet"/>
      </w:pPr>
      <w:r>
        <w:rPr>
          <w:b/>
          <w:color w:val="1D1913"/>
          <w:sz w:val="21"/>
        </w:rPr>
        <w:t>Full plan view</w:t>
      </w:r>
      <w:r>
        <w:rPr>
          <w:color w:val="332F29"/>
          <w:sz w:val="21"/>
        </w:rPr>
        <w:t xml:space="preserve"> — the whole plan on one clean page to hand the client (read-only).</w:t>
      </w:r>
    </w:p>
    <w:p>
      <w:pPr>
        <w:pStyle w:val="ListBullet"/>
      </w:pPr>
      <w:r>
        <w:rPr>
          <w:b/>
          <w:color w:val="1D1913"/>
          <w:sz w:val="21"/>
        </w:rPr>
        <w:t>Prospect view</w:t>
      </w:r>
      <w:r>
        <w:rPr>
          <w:color w:val="332F29"/>
          <w:sz w:val="21"/>
        </w:rPr>
        <w:t xml:space="preserve"> — a quick, light version to show value before building a full plan.</w:t>
      </w:r>
    </w:p>
    <w:p>
      <w:pPr>
        <w:pStyle w:val="ListBullet"/>
      </w:pPr>
      <w:r>
        <w:rPr>
          <w:b/>
          <w:color w:val="1D1913"/>
          <w:sz w:val="21"/>
        </w:rPr>
        <w:t>Investment comparison</w:t>
      </w:r>
      <w:r>
        <w:rPr>
          <w:color w:val="332F29"/>
          <w:sz w:val="21"/>
        </w:rPr>
        <w:t xml:space="preserve"> — proposed vs current. Careful — overlaps Scenarios; pin the angle first.</w:t>
      </w:r>
    </w:p>
    <w:p>
      <w:pPr>
        <w:pStyle w:val="Heading1"/>
      </w:pPr>
      <w:r>
        <w:rPr>
          <w:b/>
          <w:color w:val="B07D34"/>
          <w:sz w:val="28"/>
        </w:rPr>
        <w:t>8 · Small fixes &amp; cleanup</w:t>
      </w:r>
    </w:p>
    <w:p>
      <w:pPr>
        <w:pStyle w:val="ListBullet"/>
      </w:pPr>
      <w:r>
        <w:rPr>
          <w:b/>
          <w:color w:val="1D1913"/>
          <w:sz w:val="21"/>
        </w:rPr>
        <w:t>Rename “Net Worth” tab → “Plan”</w:t>
      </w:r>
      <w:r>
        <w:rPr>
          <w:color w:val="332F29"/>
          <w:sz w:val="21"/>
        </w:rPr>
        <w:t xml:space="preserve"> — it holds more than net worth now.</w:t>
      </w:r>
    </w:p>
    <w:p>
      <w:pPr>
        <w:pStyle w:val="ListBullet"/>
      </w:pPr>
      <w:r>
        <w:rPr>
          <w:b/>
          <w:color w:val="1D1913"/>
          <w:sz w:val="21"/>
        </w:rPr>
        <w:t>Write down the color rules</w:t>
      </w:r>
      <w:r>
        <w:rPr>
          <w:color w:val="332F29"/>
          <w:sz w:val="21"/>
        </w:rPr>
        <w:t xml:space="preserve"> — so the look stays consistent as it grows.</w:t>
      </w:r>
    </w:p>
    <w:p>
      <w:pPr>
        <w:pStyle w:val="ListBullet"/>
      </w:pPr>
      <w:r>
        <w:rPr>
          <w:b/>
          <w:color w:val="1D1913"/>
          <w:sz w:val="21"/>
        </w:rPr>
        <w:t>“Where did this number come from” tags</w:t>
      </w:r>
      <w:r>
        <w:rPr>
          <w:color w:val="332F29"/>
          <w:sz w:val="21"/>
        </w:rPr>
        <w:t xml:space="preserve"> — light touch — don't overbuild it.</w:t>
      </w:r>
    </w:p>
    <w:p>
      <w:pPr>
        <w:pStyle w:val="Heading1"/>
      </w:pPr>
      <w:r>
        <w:rPr>
          <w:b/>
          <w:color w:val="B07D34"/>
          <w:sz w:val="28"/>
        </w:rPr>
        <w:t>9 · Decisions for you</w:t>
      </w:r>
    </w:p>
    <w:p>
      <w:pPr>
        <w:pStyle w:val="ListBullet"/>
      </w:pPr>
      <w:r>
        <w:rPr>
          <w:b/>
          <w:color w:val="1D1913"/>
          <w:sz w:val="21"/>
        </w:rPr>
        <w:t>Demo mortgage</w:t>
      </w:r>
      <w:r>
        <w:rPr>
          <w:color w:val="332F29"/>
          <w:sz w:val="21"/>
        </w:rPr>
        <w:t xml:space="preserve"> — keep it (84.9%) or pay it off (~86.5%)?</w:t>
      </w:r>
    </w:p>
    <w:p>
      <w:pPr>
        <w:pStyle w:val="ListBullet"/>
      </w:pPr>
      <w:r>
        <w:rPr>
          <w:b/>
          <w:color w:val="1D1913"/>
          <w:sz w:val="21"/>
        </w:rPr>
        <w:t>Make Assets the wider column?</w:t>
      </w:r>
      <w:r>
        <w:rPr>
          <w:color w:val="332F29"/>
          <w:sz w:val="21"/>
        </w:rPr>
        <w:t xml:space="preserve"> — Liabilities is usually sparse.</w:t>
      </w:r>
    </w:p>
    <w:p>
      <w:pPr>
        <w:pStyle w:val="ListBullet"/>
      </w:pPr>
      <w:r>
        <w:rPr>
          <w:b/>
          <w:color w:val="1D1913"/>
          <w:sz w:val="21"/>
        </w:rPr>
        <w:t>Social Security framing</w:t>
      </w:r>
      <w:r>
        <w:rPr>
          <w:color w:val="332F29"/>
          <w:sz w:val="21"/>
        </w:rPr>
        <w:t xml:space="preserve"> — lifetime dollars vs the % — it barely moves the % for big spenders.</w:t>
      </w:r>
    </w:p>
    <w:p>
      <w:pPr>
        <w:pStyle w:val="ListBullet"/>
      </w:pPr>
      <w:r>
        <w:rPr>
          <w:b/>
          <w:color w:val="1D1913"/>
          <w:sz w:val="21"/>
        </w:rPr>
        <w:t>Solve-For display</w:t>
      </w:r>
      <w:r>
        <w:rPr>
          <w:color w:val="332F29"/>
          <w:sz w:val="21"/>
        </w:rPr>
        <w:t xml:space="preserve"> — avoid the confusing one-lever-vs-all-levers %.</w:t>
      </w:r>
    </w:p>
    <w:p>
      <w:pPr>
        <w:pStyle w:val="ListBullet"/>
      </w:pPr>
      <w:r>
        <w:rPr>
          <w:b/>
          <w:color w:val="1D1913"/>
          <w:sz w:val="21"/>
        </w:rPr>
        <w:t>Liabilities</w:t>
      </w:r>
      <w:r>
        <w:rPr>
          <w:color w:val="332F29"/>
          <w:sz w:val="21"/>
        </w:rPr>
        <w:t xml:space="preserve"> — one base plan, or per scenario?</w:t>
      </w:r>
    </w:p>
    <w:p>
      <w:pPr>
        <w:pStyle w:val="ListBullet"/>
      </w:pPr>
      <w:r>
        <w:rPr>
          <w:b/>
          <w:color w:val="1D1913"/>
          <w:sz w:val="21"/>
        </w:rPr>
        <w:t>Strategy Fork</w:t>
      </w:r>
      <w:r>
        <w:rPr>
          <w:color w:val="332F29"/>
          <w:sz w:val="21"/>
        </w:rPr>
        <w:t xml:space="preserve"> — does it live in Sequencing or Scenarios?</w:t>
      </w:r>
    </w:p>
    <w:p>
      <w:pPr>
        <w:pStyle w:val="Heading1"/>
      </w:pPr>
      <w:r>
        <w:rPr>
          <w:b/>
          <w:color w:val="B07D34"/>
          <w:sz w:val="28"/>
        </w:rPr>
        <w:t>10 · Decided NO — don't re-litigate</w:t>
      </w:r>
    </w:p>
    <w:p>
      <w:pPr>
        <w:pStyle w:val="ListBullet"/>
      </w:pPr>
      <w:r>
        <w:rPr>
          <w:b/>
          <w:color w:val="1D1913"/>
          <w:sz w:val="21"/>
        </w:rPr>
        <w:t>Fancy cash-flow river diagram</w:t>
      </w:r>
      <w:r>
        <w:rPr>
          <w:color w:val="332F29"/>
          <w:sz w:val="21"/>
        </w:rPr>
        <w:t xml:space="preserve"> — looks nice, shows nothing new.</w:t>
      </w:r>
    </w:p>
    <w:p>
      <w:pPr>
        <w:pStyle w:val="ListBullet"/>
      </w:pPr>
      <w:r>
        <w:rPr>
          <w:b/>
          <w:color w:val="1D1913"/>
          <w:sz w:val="21"/>
        </w:rPr>
        <w:t>“Resilience Matrix” as a new tab</w:t>
      </w:r>
      <w:r>
        <w:rPr>
          <w:color w:val="332F29"/>
          <w:sz w:val="21"/>
        </w:rPr>
        <w:t xml:space="preserve"> — old idea; overlaps what we already have.</w:t>
      </w:r>
    </w:p>
    <w:p>
      <w:pPr>
        <w:pStyle w:val="ListBullet"/>
      </w:pPr>
      <w:r>
        <w:rPr>
          <w:b/>
          <w:color w:val="1D1913"/>
          <w:sz w:val="21"/>
        </w:rPr>
        <w:t>Renaming Parallax</w:t>
      </w:r>
      <w:r>
        <w:rPr>
          <w:color w:val="332F29"/>
          <w:sz w:val="21"/>
        </w:rPr>
        <w:t xml:space="preserve"> — a business call, not now.</w:t>
      </w:r>
    </w:p>
    <w:p>
      <w:pPr>
        <w:pStyle w:val="ListBullet"/>
      </w:pPr>
      <w:r>
        <w:rPr>
          <w:b/>
          <w:color w:val="1D1913"/>
          <w:sz w:val="21"/>
        </w:rPr>
        <w:t>Reverse-the-timeline view</w:t>
      </w:r>
      <w:r>
        <w:rPr>
          <w:color w:val="332F29"/>
          <w:sz w:val="21"/>
        </w:rPr>
        <w:t xml:space="preserve"> — killed — it's a story that never happened.</w:t>
      </w:r>
    </w:p>
    <w:p>
      <w:pPr>
        <w:pStyle w:val="ListBullet"/>
      </w:pPr>
      <w:r>
        <w:rPr>
          <w:b/>
          <w:color w:val="1D1913"/>
          <w:sz w:val="21"/>
        </w:rPr>
        <w:t>Allocation as a solve lever</w:t>
      </w:r>
      <w:r>
        <w:rPr>
          <w:color w:val="332F29"/>
          <w:sz w:val="21"/>
        </w:rPr>
        <w:t xml:space="preserve"> — only with careful framing.</w:t>
      </w:r>
    </w:p>
    <w:p/>
    <w:p>
      <w:r>
        <w:rPr>
          <w:b/>
          <w:color w:val="B07D34"/>
          <w:sz w:val="19"/>
        </w:rPr>
        <w:t xml:space="preserve">How we work.  </w:t>
      </w:r>
      <w:r>
        <w:rPr>
          <w:i/>
          <w:color w:val="6B6253"/>
          <w:sz w:val="19"/>
        </w:rPr>
        <w:t>Subtract before adding. The engine is the one source of truth — the screens only show or adjust it, never invent math. Mock big visual changes first. Check by looking, not guessing.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