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Times New Roman" w:hAnsi="Times New Roman" w:eastAsia="思源黑体" w:cs="Times New Roman"/>
          <w:b/>
          <w:bCs/>
          <w:sz w:val="52"/>
          <w:szCs w:val="52"/>
        </w:rPr>
        <w:t>常见国内工控自动化故障处理</w:t>
      </w:r>
    </w:p>
    <w:p>
      <w:pPr>
        <w:spacing w:after="600"/>
        <w:jc w:val="center"/>
      </w:pPr>
      <w:r>
        <w:rPr>
          <w:rFonts w:ascii="Times New Roman" w:hAnsi="Times New Roman" w:eastAsia="思源黑体" w:cs="Times New Roman"/>
          <w:b/>
          <w:bCs/>
          <w:sz w:val="52"/>
          <w:szCs w:val="52"/>
        </w:rPr>
        <w:t>2500 问（精选示例版）</w:t>
      </w:r>
    </w:p>
    <w:p>
      <w:pPr>
        <w:spacing w:after="200"/>
        <w:jc w:val="center"/>
      </w:pPr>
      <w:r>
        <w:rPr>
          <w:rFonts w:ascii="Times New Roman" w:hAnsi="Times New Roman" w:eastAsia="思源黑体" w:cs="Times New Roman"/>
          <w:sz w:val="28"/>
          <w:szCs w:val="28"/>
        </w:rPr>
        <w:t>—— PLC · 变频器 · 伺服 · 触摸屏 · 传感器 · 气动液压 ——</w:t>
      </w:r>
    </w:p>
    <w:p>
      <w:pPr>
        <w:spacing w:before="1600" w:after="100"/>
        <w:jc w:val="center"/>
      </w:pPr>
      <w:r>
        <w:rPr>
          <w:rFonts w:ascii="Times New Roman" w:hAnsi="Times New Roman" w:eastAsia="思源黑体" w:cs="Times New Roman"/>
          <w:b/>
          <w:bCs/>
          <w:color w:val="C00000"/>
          <w:sz w:val="32"/>
          <w:szCs w:val="32"/>
        </w:rPr>
        <w:t>整理：小吴同学</w:t>
      </w:r>
    </w:p>
    <w:p>
      <w:pPr>
        <w:spacing w:after="100"/>
        <w:jc w:val="center"/>
      </w:pPr>
      <w:r>
        <w:rPr>
          <w:rFonts w:ascii="Times New Roman" w:hAnsi="Times New Roman" w:eastAsia="思源黑体" w:cs="Times New Roman"/>
          <w:b/>
          <w:bCs/>
          <w:color w:val="C00000"/>
          <w:sz w:val="32"/>
          <w:szCs w:val="32"/>
        </w:rPr>
        <w:t>公众号：</w:t>
      </w:r>
      <w:r>
        <w:rPr>
          <w:rFonts w:ascii="Times New Roman" w:hAnsi="Times New Roman" w:eastAsia="思源黑体" w:cs="Times New Roman"/>
          <w:b/>
          <w:bCs/>
          <w:color w:val="1F4E79"/>
          <w:sz w:val="32"/>
          <w:szCs w:val="32"/>
        </w:rPr>
        <w:t>小吴同学电气设计</w:t>
      </w:r>
    </w:p>
    <w:p>
      <w:pPr>
        <w:pBdr>
          <w:top w:val="single" w:color="C00000" w:sz="6" w:space="8"/>
        </w:pBdr>
        <w:spacing w:after="200"/>
        <w:jc w:val="center"/>
      </w:pPr>
      <w:r>
        <w:rPr>
          <w:rFonts w:ascii="Times New Roman" w:hAnsi="Times New Roman" w:eastAsia="思源黑体" w:cs="Times New Roman"/>
          <w:i/>
          <w:iCs/>
          <w:color w:val="808080"/>
          <w:sz w:val="22"/>
          <w:szCs w:val="22"/>
        </w:rPr>
        <w:t>（关注公众号获取完整 2500 问资料）</w:t>
      </w:r>
    </w:p>
    <w:p>
      <w:r>
        <w:br w:type="page"/>
      </w:r>
    </w:p>
    <w:p>
      <w:pPr>
        <w:pStyle w:val="2"/>
      </w:pPr>
      <w:r>
        <w:rPr>
          <w:rFonts w:ascii="Times New Roman" w:hAnsi="Times New Roman" w:eastAsia="思源黑体" w:cs="Times New Roman"/>
        </w:rPr>
        <w:t>使用说明</w:t>
      </w:r>
    </w:p>
    <w:p>
      <w:pPr>
        <w:spacing w:after="160" w:line="360" w:lineRule="auto"/>
      </w:pPr>
      <w:r>
        <w:rPr>
          <w:rFonts w:ascii="Times New Roman" w:hAnsi="Times New Roman" w:eastAsia="思源黑体" w:cs="Times New Roman"/>
          <w:sz w:val="24"/>
          <w:szCs w:val="24"/>
        </w:rPr>
        <w:t>本文档为《常见国内工控自动化故障处理 2500 问》精选示例版，涵盖西门子、三菱、欧姆龙、汇川、英威腾、台达、安川、松下等主流品牌 PLC、变频器、伺服、HMI、传感器及气动液压系统的常见故障排查与处理方法。</w:t>
      </w:r>
    </w:p>
    <w:p>
      <w:pPr>
        <w:spacing w:after="160" w:line="360" w:lineRule="auto"/>
      </w:pPr>
      <w:r>
        <w:rPr>
          <w:rFonts w:ascii="Times New Roman" w:hAnsi="Times New Roman" w:eastAsia="思源黑体" w:cs="Times New Roman"/>
          <w:sz w:val="24"/>
          <w:szCs w:val="24"/>
        </w:rPr>
        <w:t>全文采用「问题 — 答」格式，便于现场快速查阅。目录按设备类型分为八章，可根据实际故障类别定位。</w:t>
      </w:r>
    </w:p>
    <w:p>
      <w:pPr>
        <w:spacing w:after="160" w:line="360" w:lineRule="auto"/>
      </w:pPr>
      <w:r>
        <w:rPr>
          <w:rFonts w:ascii="Times New Roman" w:hAnsi="Times New Roman" w:eastAsia="思源黑体" w:cs="Times New Roman"/>
          <w:sz w:val="24"/>
          <w:szCs w:val="24"/>
        </w:rPr>
        <w:t>完整版 2500 问内容更详实，包含更多品牌型号、报警代码、参数设置及典型工程案例。</w:t>
      </w:r>
    </w:p>
    <w:p>
      <w:pPr>
        <w:spacing w:after="160" w:line="360" w:lineRule="auto"/>
      </w:pPr>
      <w:r>
        <w:rPr>
          <w:rFonts w:ascii="Times New Roman" w:hAnsi="Times New Roman" w:eastAsia="思源黑体" w:cs="Times New Roman"/>
          <w:sz w:val="24"/>
          <w:szCs w:val="24"/>
        </w:rPr>
        <w:t>获取完整资料，请关注公众号「小吴同学电气设计」，联系小吴同学。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第一章 PLC 指示灯与系统故障（西门子 / 三菱 / 欧姆龙）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CPU 的 RUN/STOP 指示灯绿色常亮表示什么？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 CPU 正常运行，处于 RUN 模式。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CPU 的 RUN/STOP 指示灯橙色常亮表示什么？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 CPU 处于 STOP（停止）模式。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CPU 的 ERROR 指示灯红色常亮表示什么？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表示严重故障，如硬件损坏。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CPU 的 ERROR 指示灯红色闪烁表示什么？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表示有维护请求或用户程序错误，如定时中断事件丢失、Profinet 通信故障、组态错误等。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CPU 的 MAINT 指示灯黄色亮起表示什么？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表示需要维护，如存储卡需要格式化，或固件需要更新。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S7-200 SMART CPU 的 SF 指示灯红色常亮表示什么？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表示系统故障，可能原因包括模块硬件故障、程序错误（寻址错误、除零错误）、I/O 模块供电失败等。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S7-200 SMART CPU 的 STOP 指示灯黄色常亮表示什么？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 CPU 处于 STOP 模式，可以通过软件切换到 RUN 模式。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S7-200 SMART CPU 的 RUN 指示灯绿色常亮表示什么？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 CPU 处于 RUN 模式，正常运行用户程序。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1.9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三菱 FX3U PLC 的 POWER 指示灯不亮是什么原因？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 PLC 未通电，检查输入电源接线是否正确，电源电压是否为 AC100-240V 或 DC24V，保险丝是否熔断。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1.10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三菱 FX3U PLC 的 RUN 指示灯不亮、PROG.E 指示灯闪烁表示什么？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表示程序错误，如语法错误、电路错误、参数错误等，需连接编程软件检查错误代码并修正。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1.11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三菱 FX3U PLC 的 BATT.V 指示灯亮红灯表示什么？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表示锂电池电压过低，需尽快更换电池，否则程序可能丢失。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1.12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欧姆龙 CP1H PLC 的 ERR 指示灯红灯闪烁表示什么？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表示有非致命错误，如程序语法错误、I/O 表设置错误等，可通过 CX-Programmer 软件查看错误日志。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1.13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欧姆龙 CP1H PLC 的 ERR 指示灯红灯常亮表示什么？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表示有致命错误，如 CPU 硬件故障、I/O 单元连接故障，需断电重启，若仍无法消除则需更换 CPU。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1.14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国产 PLC（汇川 / 信捷）上电无显示如何处理？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 24V 电源接线及电压；检查端子是否松动；若仍无显示多为硬件损坏，需返修。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第二章 通信与网络故障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PLC 与触摸屏通信不上，可能原因有哪些？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 IP 地址是否在同一网段；检查网线是否完好；检查 PLC 是否处于 RUN 模式；检查通信驱动选择是否正确。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下载程序时提示“无法连接设备”怎么办？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 PG/PC 接口设置；检查网线连接；检查 PLC 的 IP 地址与电脑是否同网段；尝试清除 PLC 的 IP 地址后重新搜索。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Profinet 通信故障 ERROR 灯闪烁如何处理？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 Profinet 线缆连接；检查伙伴设备 IP 地址和站名是否与组态一致；检查交换机是否支持 Profinet；在线诊断查看具体错误。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485 通信主站读取不到从站数据如何处理？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 A/B 线是否接反；检查终端电阻是否匹配；检查从站地址、波特率、校验位是否一致；用万用表测量 A/B 间电压差（正常 1-5V）。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工业以太网通信中断如何排查？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检查网线水晶头接触；检查交换机端口指示灯；检查 IP 是否冲突；检查网线是否超长或经过强干扰区；尝试更换网线或端口。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Modbus TCP 通信超时如何处理？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 IP 地址与端口号（通常 502）；检查从站 ID；检查网络连接；在程序中增加重试与超时机制。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触摸屏与 PLC 通信不上如何处理（威纶通 / 昆仑通态）？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检查通信线接线；检查 COM 口参数（波特率、数据位、停止位、校验位）是否与 PLC 一致；检查 PLC 站号；检查 PLC 程序是否占用通信口。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2.8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触摸屏显示“驱动初始化失败”怎么办？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检查设备窗口属性设置；检查通信线连接；检查父设备（串口或网口）参数配置；重新下载工程。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第三章 变频器常见故障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变频器上电显示“OC”故障代码表示什么？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表示过电流故障，可能原因：电机短路、负载过重、加速时间太短、变频器模块损坏。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变频器上电显示“OU/OV”故障代码表示什么？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表示过电压故障，可能原因：输入电压过高、减速时间太短、制动单元或制动电阻未接或损坏。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变频器上电显示“LU/LV”故障代码表示什么？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表示欠电压故障，可能原因：输入电源电压过低、电源缺相、整流桥或滤波电容损坏。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变频器上电显示“OH”故障代码表示什么？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表示过热故障，可能原因：散热风扇损坏、风道堵塞、环境温度过高、负载过大。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变频器显示“接地故障”如何处理？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检查电机绕组对地绝缘；检查变频器到电机电缆是否破损接地；检查变频器内部电流检测电路是否故障。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变频器显示“通信故障”如何处理？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检查通信线 A/B 是否接反；检查终端电阻；检查波特率、站地址是否一致；检查主站程序。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汇川 MD200 变频器显示“Err01”是什么意思？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表示逆变单元保护，通常为模块故障或电流检测异常，需检查电机及电缆绝缘，必要时更换变频器。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英威腾 GD20 变频器显示“E001”是什么意思？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表示加速运行过电流，需延长加速时间，检查电机是否堵转，检查变频器功率与电机是否匹配。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3.9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V20 变频器显示“F1/F2”故障是什么意思？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F1 为过电流（检查电机电缆、接地、加速时间）；F2 为过电压（检查输入电压、减速时间、制动电阻）。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3.10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台达 VFD-M 变频器显示“OC-1”是什么意思？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表示加速中过电流，需检查加速时间设定、U/F 曲线、电机及电缆。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3.11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施耐德 ATV312 变频器显示“OBF”是什么意思？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表示制动过速，检查减速时间是否太短、负载惯性是否过大、制动电阻是否匹配。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3.12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变频器一启动就跳闸可能的原因？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输入侧短路；变频器整流桥损坏；电机或电缆短路；空开容量过小；电网瞬间冲击。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3.13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变频器多段速控制如何实现？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通过多功能输入端子组合选择不同频率，每个端子对应一个速度段，在参数中设定各段频率值。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3.14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变频器干扰编码器信号如何处理？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编码器线用双绞屏蔽线且单端接地；与动力线分开走线，交叉时垂直穿过；变频器加装输入/输出电抗器；电机可靠接地。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第四章 伺服与运动控制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伺服驱动器上电显示“ALM”或报警灯亮是什么原因？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表示驱动器存在报警，需查看报警代码。常见原因：编码器故障、过载、过压、欠压、主电路断开等。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松下 A5 伺服显示“11.0”报警是什么意思？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表示控制电源欠电压，检查控制电源输入电压是否为 DC24V，检查接线是否牢固。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松下 A5 伺服显示“13.0”报警是什么意思？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表示主电源欠电压，检查主电源 R/S/T 输入电压是否正常，检查接线端子是否松动。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安川 Σ-7 伺服显示“A.020”报警是什么意思？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表示参数和校验异常，需重新设置参数或恢复出厂设置后重新写入参数。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安川 Σ-7 伺服显示“A.040”报警是什么意思？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表示绝对值数据丢失，需重新设定绝对值编码器数据，执行原点复归。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台达 ASD-B2 伺服显示“AL001”报警是什么意思？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表示过电流，检查电机 U/V/W 接线是否短路，电机绝缘是否良好，驱动器是否损坏。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台达 ASD-B2 伺服显示“AL011”报警是什么意思？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表示编码器故障，检查编码器线是否断线、接触不良，更换编码器线或电机。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汇川 IS620P 伺服显示“Er.101”报警是什么意思？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表示绝对值编码器数据异常，需重新进行绝对值编码器清零和原点设置。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4.9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汇川 IS620P 伺服显示“Er.630”报警是什么意思？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表示主电路过压，检查输入电压是否过高，检查制动电阻接线及阻值是否匹配。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4.10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伺服电机发热严重如何处理？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检查负载是否过大；检查增益参数是否过高导致振荡；检查制动器是否未打开；检查冷却风扇；检查环境温度。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4.11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绝对值编码器与增量式编码器有什么区别？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增量式编码器需要回原点才能确定位置；绝对值编码器断电后位置不丢失，上电即可知道当前位置，无需回原点。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4.12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步进电机丢步的原因有哪些？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负载过大或加减速时间过短；供电电压不足；电机与驱动器匹配不当；脉冲频率过高；机械传动卡滞；干扰导致脉冲丢失。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4.13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步进电机驱动器报警“过压”如何处理？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检查输入电源电压是否过高；检查电源波动；降低供电电压至额定范围。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4.14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步进电机驱动器报警“过流”如何处理？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检查电机绕组是否短路；检查电机线是否接错；检查驱动器功率模块；降低电流设定值。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第五章 模拟量、传感器与仪表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模拟量输入信号波动大如何处理？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检查屏蔽线是否单端接地；检查信号线与动力线是否分开走线；增加滤波电容；程序中加入数字滤波；检查变送器或传感器是否故障。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模拟量输出控制变频器频率不准如何处理？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检查模拟量模块量程设置是否与变频器输入匹配（0-10V 或 4-20mA）；校准模块；检查接线；排除干扰。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模拟量模块读数为 32767 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表示输入信号超上限，可能是信号大于 20mA 或 10V、断线（对 4-20mA）或模块配置错误。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西门子 S7-1200 模拟量模块读数为 -32768 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表示输入信号超下限，可能是信号小于 4mA、断线或模块硬件故障。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接近开关接线后无信号输出如何排查？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检查电源极性是否接反；检查供电电压是否在额定范围；检查负载是否过大；检查感应距离内是否有金属物体；用万用表测量输出线电压。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光电开关受干扰误动作如何处理？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调整灵敏度旋钮；改变安装位置避开强光直射；使用屏蔽线并接地；增加遮光罩；更换抗光干扰型光电开关。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三线制 PNP/NPN 传感器如何接线？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棕色线接 +24V，蓝色线接 0V，黑色线为信号输出线接 PLC 输入点；注意 PLC 输入类型（源型/漏型）需匹配。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两线制传感器如何接线？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一根线接电源正极，另一根线接负载（PLC 输入点），PLC 输入公共端接电源负极。注意漏电流可能导致误动作。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5.9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称重模块读数不准或跳数如何处理？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检查传感器供电；检查接线与屏蔽；进行秤台标定；检查机械结构是否卡滞；排除振动和风力干扰。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5.10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温控表显示“----”或“HHHH”是什么原因？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表示输入信号断线或超量程。检查热电偶/热电阻接线；检查传感器是否损坏；检查分度号设置。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5.11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温控表控制温度波动大如何调整？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调整 PID 参数，增大积分时间或减小比例带；检查加热功率匹配；检查散热条件；检查传感器安装位置。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第六章 气动、液压与执行元件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电磁阀得电后不动作如何排查？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检查电源电压是否额定；检查接线；手动测试是否卡死；检查线圈是否烧毁（测电阻）；检查气源/液压源压力。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气缸动作缓慢或不动作可能原因？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气源压力不足；气管弯折或堵塞；电磁阀阀芯卡滞；气缸密封件磨损漏气；负载过大；调速阀开度过小。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气动三联件（过滤器、减压阀、油雾器）的作用是什么？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过滤器除水除杂质；减压阀稳定出口压力；油雾器向压缩空气添加润滑油以润滑气动元件。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气动系统中什么是 FRL 单元？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即空气过滤器（Filter）、减压阀（Regulator）、油雾器（Lubricator）的组合，也称三联件。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液压系统中溢流阀的作用是什么？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限制系统最高压力，防止过载，起安全保护作用；也可用于调节系统工作压力。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气动手指（气爪）闭合不紧如何处理？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检查气压是否额定；检查内部杂质；检查密封件磨损；调整节流阀；检查工件是否超出夹持力范围。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6.7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真空吸盘吸不住物体如何处理？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检查真空发生器；检查吸盘破损；检查管路漏气；检查物体表面；检查真空压力开关设定。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第七章 低压电器与电源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热继电器频繁跳闸如何处理？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检查电机是否过载；检查整定电流是否过小；检查电机绝缘；检查机械部分是否卡死；检查热继电器是否损坏。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交流接触器吸合后噪音很大是什么原因？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铁芯端面有异物或锈蚀；短路环断裂；电源电压过低；弹簧反作用力过大；铁芯磨损严重。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中间继电器线圈得电但不吸合如何处理？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检查线圈电压；检查线圈是否断路；检查机械卡阻；检查触点是否熔焊。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断路器（空开）合不上闸如何排查？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检查负载侧是否短路；检查断路器是否损坏；检查是否过载导致双金属片未复位；检查操作机构。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固态继电器（SSR）输出端不导通如何检测？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测输入端控制电压；测输出端负载电压；断电测输出端电阻（正常无穷大，导通时应很小）；检查散热。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24V 开关电源输出电压不稳如何处理？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检查输入电压；检查负载是否过重；检查环境温度；检查滤波电容；必要时更换电源。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24V 电源带载后电压跌落严重如何处理？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检查电源容量；检查负载短路；检查线路压降（线径）；更换更大功率电源。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继电器触点粘连如何处理？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更换继电器；检查负载冲击电流并加装浪涌吸收器；检查触点容量是否选小。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7.9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电气原理图中 KM、FR 分别表示什么？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KM 表示交流接触器，用于频繁接通和分断主电路；FR 表示热继电器，用于电动机过载保护。</w:t>
      </w:r>
    </w:p>
    <w:p>
      <w:pPr>
        <w:pStyle w:val="2"/>
        <w:pageBreakBefore/>
      </w:pPr>
      <w:r>
        <w:rPr>
          <w:rFonts w:ascii="Times New Roman" w:hAnsi="Times New Roman" w:eastAsia="思源黑体" w:cs="Times New Roman"/>
        </w:rPr>
        <w:t>第八章 EMC 干扰、接地与综合排查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8.1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设备 EMC 干扰严重如何防护？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动力线与信号线分开走线；使用屏蔽线并正确接地；加装磁环；电源加装滤波器；PLC 和变频器良好接地；使用隔离模块。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8.2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设备偶尔无故停机且无报警如何排查？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检查急停回路接触；检查安全继电器；检查 24V 电源波动；检查 PLC 供电和接地；检查干扰；查看 PLC 故障缓冲区记录。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8.3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变频器运行中有异味如何处理？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立即停机检查；可能是电容鼓包、电阻烧毁、塑料件过热。需专业人员检修，更换损坏部件。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8.4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控制柜内温度过高如何改善？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加装散热风扇或空调；合理布置元件保证通风；避免阳光直射；定期清理滤网；使用耐高温元件。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8.5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旋转编码器信号丢失如何处理？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检查供电；检查电缆断线或接触不良；检查联轴器松动；检查编码器本体；检查屏蔽接地。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8.6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触摸屏上电白屏/黑屏是什么原因？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可能背光灯损坏、高压板故障、主板故障或程序丢失。尝试重新下载程序，无效则需返修。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8.7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触摸屏触摸无反应如何处理？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校准触摸屏；检查表面水渍油污；检查触摸驱动；若硬件损坏则需更换触摸面板。</w:t>
      </w:r>
    </w:p>
    <w:p>
      <w:pPr>
        <w:spacing w:before="200" w:after="60" w:line="360" w:lineRule="auto"/>
      </w:pPr>
      <w:r>
        <w:rPr>
          <w:rFonts w:ascii="Times New Roman" w:hAnsi="Times New Roman" w:eastAsia="思源黑体" w:cs="Times New Roman"/>
          <w:b/>
          <w:bCs/>
          <w:color w:val="1F4E79"/>
          <w:sz w:val="24"/>
          <w:szCs w:val="24"/>
        </w:rPr>
        <w:t xml:space="preserve">8.8 </w:t>
      </w:r>
      <w:r>
        <w:rPr>
          <w:rFonts w:ascii="Times New Roman" w:hAnsi="Times New Roman" w:eastAsia="思源黑体" w:cs="Times New Roman"/>
          <w:b/>
          <w:bCs/>
          <w:sz w:val="24"/>
          <w:szCs w:val="24"/>
        </w:rPr>
        <w:t>触摸屏下载程序提示“通信超时”如何处理？</w:t>
      </w:r>
    </w:p>
    <w:p>
      <w:pPr>
        <w:spacing w:after="120" w:line="360" w:lineRule="auto"/>
        <w:ind w:left="360"/>
      </w:pPr>
      <w:r>
        <w:rPr>
          <w:rFonts w:ascii="Times New Roman" w:hAnsi="Times New Roman" w:eastAsia="思源黑体" w:cs="Times New Roman"/>
          <w:b/>
          <w:bCs/>
          <w:color w:val="C00000"/>
          <w:sz w:val="24"/>
          <w:szCs w:val="24"/>
        </w:rPr>
        <w:t>答：</w:t>
      </w:r>
      <w:r>
        <w:rPr>
          <w:rFonts w:ascii="Times New Roman" w:hAnsi="Times New Roman" w:eastAsia="思源黑体" w:cs="Times New Roman"/>
          <w:sz w:val="24"/>
          <w:szCs w:val="24"/>
        </w:rPr>
        <w:t>检查下载线连接；检查 COM 口或 IP 设置；检查触摸屏是否处于下载模式；重启触摸屏和电脑。</w:t>
      </w:r>
    </w:p>
    <w:p>
      <w:r>
        <w:br w:type="page"/>
      </w:r>
    </w:p>
    <w:p>
      <w:pPr>
        <w:spacing w:before="1200"/>
      </w:pPr>
    </w:p>
    <w:p>
      <w:pPr>
        <w:spacing w:after="400"/>
        <w:jc w:val="center"/>
      </w:pPr>
      <w:r>
        <w:rPr>
          <w:rFonts w:ascii="Times New Roman" w:hAnsi="Times New Roman" w:eastAsia="思源黑体" w:cs="Times New Roman"/>
          <w:b/>
          <w:bCs/>
          <w:color w:val="1F4E79"/>
          <w:sz w:val="40"/>
          <w:szCs w:val="40"/>
        </w:rPr>
        <w:t>获取完整 2500 问资料</w:t>
      </w: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000000"/>
          <w:sz w:val="26"/>
          <w:szCs w:val="26"/>
        </w:rPr>
        <w:t>本文档为精选示例版本，完整版《常见国内工控自动化故障处理 2500 问》包含：</w:t>
      </w: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000000"/>
          <w:sz w:val="26"/>
          <w:szCs w:val="26"/>
        </w:rPr>
        <w:t>· 八大类目下扩展至 2500 条问答，覆盖更多品牌与型号；</w:t>
      </w: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000000"/>
          <w:sz w:val="26"/>
          <w:szCs w:val="26"/>
        </w:rPr>
        <w:t>· 详尽的报警代码速查表与参数设置指南；</w:t>
      </w: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000000"/>
          <w:sz w:val="26"/>
          <w:szCs w:val="26"/>
        </w:rPr>
        <w:t>· 典型工程故障案例分析与排查流程图。</w:t>
      </w:r>
      <w:bookmarkStart w:id="0" w:name="_GoBack"/>
      <w:bookmarkEnd w:id="0"/>
    </w:p>
    <w:p>
      <w:pPr>
        <w:spacing w:after="160" w:line="360" w:lineRule="auto"/>
        <w:jc w:val="center"/>
      </w:pP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C00000"/>
          <w:sz w:val="26"/>
          <w:szCs w:val="26"/>
        </w:rPr>
        <w:t>📌 公众号：小吴同学电气设计</w:t>
      </w: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C00000"/>
          <w:sz w:val="26"/>
          <w:szCs w:val="26"/>
        </w:rPr>
        <w:t>👤 整理：小吴同学</w:t>
      </w:r>
    </w:p>
    <w:p>
      <w:pPr>
        <w:spacing w:after="160" w:line="360" w:lineRule="auto"/>
        <w:jc w:val="center"/>
      </w:pPr>
      <w:r>
        <w:rPr>
          <w:rFonts w:ascii="Times New Roman" w:hAnsi="Times New Roman" w:eastAsia="思源黑体" w:cs="Times New Roman"/>
          <w:color w:val="000000"/>
          <w:sz w:val="26"/>
          <w:szCs w:val="26"/>
        </w:rPr>
        <w:t>欢迎关注交流，获取完整资料！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Times New Roman" w:hAnsi="Times New Roman" w:eastAsia="思源黑体" w:cs="Times New Roman"/>
        <w:color w:val="808080"/>
        <w:sz w:val="18"/>
        <w:szCs w:val="18"/>
      </w:rPr>
      <w:t>小吴同学电气设计  |  公众号：小吴同学电气设计  |  整理：小吴同学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sz w:val="18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2540" b="2540"/>
          <wp:wrapNone/>
          <wp:docPr id="1" name="WordPictureWatermark33326" descr="微信图片_2026-08-26_115246_9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3326" descr="微信图片_2026-08-26_115246_927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44409" o:spid="_x0000_s2050" o:spt="136" type="#_x0000_t136" style="position:absolute;left:0pt;height:68.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小吴同学电气设计" style="font-family:微软雅黑;font-size:36pt;v-same-letter-heights:f;v-text-align:center;"/>
        </v:shape>
      </w:pict>
    </w:r>
    <w:r>
      <w:rPr>
        <w:rFonts w:ascii="Times New Roman" w:hAnsi="Times New Roman" w:eastAsia="思源黑体" w:cs="Times New Roman"/>
        <w:color w:val="A0A0A0"/>
        <w:sz w:val="18"/>
        <w:szCs w:val="18"/>
      </w:rPr>
      <w:t>小吴同学电气设计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writeProtection w:cryptProviderType="rsaFull" w:cryptAlgorithmClass="hash" w:cryptAlgorithmType="typeAny" w:cryptAlgorithmSid="4" w:cryptSpinCount="100000" w:hash="NunmMdppUIYzTW2lNCVkQvPbdZ4=" w:salt="gdOhGTdYMGkdRWjzsujh/w==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5"/>
  </w:compat>
  <w:rsids>
    <w:rsidRoot w:val="00000000"/>
    <w:rsid w:val="058B39A6"/>
    <w:rsid w:val="737D134A"/>
    <w:rsid w:val="7F1369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200"/>
      <w:outlineLvl w:val="0"/>
    </w:pPr>
    <w:rPr>
      <w:rFonts w:ascii="Times New Roman" w:hAnsi="Times New Roman" w:eastAsia="思源黑体" w:cs="Times New Roman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Office_11.8.2.8053_F1E327BC-269C-435d-A152-05C5408002CA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2026-09-09T07:44:00Z</dcterms:created>
  <dc:creator>Un-named</dc:creator>
  <cp:lastModifiedBy>吴尚青</cp:lastModifiedBy>
  <dcterms:modified xsi:type="dcterms:W3CDTF">2026-09-09T08:37:52Z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{"Label":"1","ContentProducer":"001191440300708461136T1WFUO","ProduceID":"809c27dd2aa72e199c6e9bbdc4d9747d-v4dP","ReservedCode1":"{\"Type\":\" TC260PG\",\"Version\":1,\"Bindings\":[{\"Type\":\"soft\",\"AlgID\":\"sm3\",\"Value\":\"db5ef3901af3ad960e293856a208bdf3c1edd1796182c0fd3eb6cfc9b3364212\"},{\"Type\":\"hash\",\"AlgID\":\"sm3\",\"Value\":\"0aac1cd15d033fda72156435dc49f829e78ecf821037acaf1ca1a7c298ec0a42\"}],\"PubSD\":[{\"Type\":\"DS\",\"AlgID\":\"sm2\",\"TBSData\":{\"Type\":\"Binding\",\"BType\":\"hash\"},\"Signature\":\"304502210092a436c5a18e815fc60340f5ba18dc445c1e0a94e8327bed1a334e3ff09df5ff02202abf8f9f09eae4e0d72237d300416b2e5ee9753166588cee8dedd529b29dcac9\"},{\"Type\":\"PubKey\",\"AlgID\":\"sm2\",\"KeyValue\":\"0407f79b28a17a752b3aae4305c98b48978213832729a2571850b1310b2bc9fe8fee039ccf25ebfeac27502414d9fcef792d777183c98893d226171c2f7a3289a2\"}],\"Extension\":{\"Timestamp\":1788939911,\"KeyVersion\":\"v1-TxLeOmf7bqU223\"}}","ContentPropagator":"001191440300708461136T1WFUO","PropagateID":"809c27dd2aa72e199c6e9bbdc4d9747d-v4dP","ReservedCode2":"{\"Type\":\" TC260PG\",\"Version\":1,\"Bindings\":[{\"Type\":\"soft\",\"AlgID\":\"sm3\",\"Value\":\"db5ef3901af3ad960e293856a208bdf3c1edd1796182c0fd3eb6cfc9b3364212\"},{\"Type\":\"hash\",\"AlgID\":\"sm3\",\"Value\":\"0aac1cd15d033fda72156435dc49f829e78ecf821037acaf1ca1a7c298ec0a42\"}],\"PubSD\":[{\"Type\":\"DS\",\"AlgID\":\"sm2\",\"TBSData\":{\"Type\":\"Binding\",\"BType\":\"hash\"},\"Signature\":\"3044022009c608543935825c831119a2202b5696770b057241a4825506e82b2bb8ad5ac302201fa304844014e3a65b53661f3e45862180dc4c428a356dd371de2999e4c82025\"},{\"Type\":\"PubKey\",\"AlgID\":\"sm2\",\"KeyValue\":\"0407f79b28a17a752b3aae4305c98b48978213832729a2571850b1310b2bc9fe8fee039ccf25ebfeac27502414d9fcef792d777183c98893d226171c2f7a3289a2\"}],\"Extension\":{\"Timestamp\":1788939911,\"KeyVersion\":\"v1-TxLeOmf7bqU223\"}}"}</vt:lpwstr>
  </property>
  <property fmtid="{D5CDD505-2E9C-101B-9397-08002B2CF9AE}" pid="3" name="KSOProductBuildVer">
    <vt:lpwstr>2052-11.8.2.8053</vt:lpwstr>
  </property>
</Properties>
</file>