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B25DA" w14:textId="77777777" w:rsidR="008042D5" w:rsidRDefault="00000000">
      <w:pPr>
        <w:pStyle w:val="Title"/>
      </w:pPr>
      <w:r>
        <w:t>MSE 302 – Individual Project: Milestone 1 (IP: M1)</w:t>
      </w:r>
    </w:p>
    <w:p w14:paraId="4B57D43E" w14:textId="77777777" w:rsidR="008042D5" w:rsidRDefault="00000000">
      <w:r>
        <w:t>Student: Thomas Huang</w:t>
      </w:r>
    </w:p>
    <w:p w14:paraId="03762345" w14:textId="77777777" w:rsidR="008042D5" w:rsidRDefault="00000000">
      <w:r>
        <w:t>Repository link: https://github.com/t8huang/mse302_ip_thomas_huang</w:t>
      </w:r>
      <w:r>
        <w:br w:type="page"/>
      </w:r>
    </w:p>
    <w:p w14:paraId="6633D240" w14:textId="77777777" w:rsidR="008042D5" w:rsidRDefault="008042D5"/>
    <w:p w14:paraId="6D15C653" w14:textId="77777777" w:rsidR="008042D5" w:rsidRDefault="00000000">
      <w:pPr>
        <w:pStyle w:val="Heading1"/>
        <w:spacing w:after="80"/>
      </w:pPr>
      <w:r>
        <w:rPr>
          <w:sz w:val="20"/>
        </w:rPr>
        <w:t>Part 1 – Problem Brainstorm (max ~1 page)</w:t>
      </w:r>
    </w:p>
    <w:p w14:paraId="77665FA0" w14:textId="77777777" w:rsidR="008042D5" w:rsidRDefault="00000000">
      <w:pPr>
        <w:spacing w:after="20" w:line="240" w:lineRule="auto"/>
      </w:pPr>
      <w:r>
        <w:rPr>
          <w:sz w:val="18"/>
        </w:rPr>
        <w:t>In the table below are five distinct problem areas and brief summaries (2–4 sentences each).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042D5" w14:paraId="2AB2AB28" w14:textId="77777777">
        <w:tc>
          <w:tcPr>
            <w:tcW w:w="2880" w:type="dxa"/>
          </w:tcPr>
          <w:p w14:paraId="2D6F7889" w14:textId="77777777" w:rsidR="008042D5" w:rsidRDefault="00000000">
            <w:pPr>
              <w:spacing w:after="10" w:line="240" w:lineRule="auto"/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2880" w:type="dxa"/>
          </w:tcPr>
          <w:p w14:paraId="286FD98A" w14:textId="77777777" w:rsidR="008042D5" w:rsidRDefault="00000000">
            <w:pPr>
              <w:spacing w:after="10" w:line="240" w:lineRule="auto"/>
            </w:pPr>
            <w:r>
              <w:rPr>
                <w:b/>
                <w:sz w:val="18"/>
              </w:rPr>
              <w:t>Problem Area</w:t>
            </w:r>
          </w:p>
        </w:tc>
        <w:tc>
          <w:tcPr>
            <w:tcW w:w="2880" w:type="dxa"/>
          </w:tcPr>
          <w:p w14:paraId="65F95EB1" w14:textId="77777777" w:rsidR="008042D5" w:rsidRDefault="00000000">
            <w:pPr>
              <w:spacing w:after="10" w:line="240" w:lineRule="auto"/>
            </w:pPr>
            <w:r>
              <w:rPr>
                <w:b/>
                <w:sz w:val="18"/>
              </w:rPr>
              <w:t>Brief Summary</w:t>
            </w:r>
          </w:p>
        </w:tc>
      </w:tr>
      <w:tr w:rsidR="008042D5" w14:paraId="50EBE65F" w14:textId="77777777">
        <w:tc>
          <w:tcPr>
            <w:tcW w:w="2880" w:type="dxa"/>
          </w:tcPr>
          <w:p w14:paraId="235CE4DD" w14:textId="77777777" w:rsidR="008042D5" w:rsidRDefault="00000000">
            <w:pPr>
              <w:spacing w:after="10" w:line="240" w:lineRule="auto"/>
            </w:pPr>
            <w:r>
              <w:rPr>
                <w:sz w:val="18"/>
              </w:rPr>
              <w:t>1</w:t>
            </w:r>
          </w:p>
        </w:tc>
        <w:tc>
          <w:tcPr>
            <w:tcW w:w="2880" w:type="dxa"/>
          </w:tcPr>
          <w:p w14:paraId="3DC4C921" w14:textId="77777777" w:rsidR="008042D5" w:rsidRDefault="00000000">
            <w:pPr>
              <w:spacing w:after="10" w:line="240" w:lineRule="auto"/>
            </w:pPr>
            <w:r>
              <w:rPr>
                <w:sz w:val="18"/>
              </w:rPr>
              <w:t>Urban Food Waste &amp; Food Rescue</w:t>
            </w:r>
          </w:p>
        </w:tc>
        <w:tc>
          <w:tcPr>
            <w:tcW w:w="2880" w:type="dxa"/>
          </w:tcPr>
          <w:p w14:paraId="4164BE78" w14:textId="77777777" w:rsidR="008042D5" w:rsidRDefault="00000000">
            <w:pPr>
              <w:spacing w:after="10" w:line="240" w:lineRule="auto"/>
            </w:pPr>
            <w:r>
              <w:rPr>
                <w:sz w:val="18"/>
              </w:rPr>
              <w:t>Restaurants and grocers discard significant amounts of edible food daily. A coordinated system is needed to signal surplus in real time, match it with nearby recipients (food banks, shelters, community fridges), and move it quickly under food-safety constraints. This has strong social and environmental benefits and requires thoughtful process and information-system design.</w:t>
            </w:r>
          </w:p>
        </w:tc>
      </w:tr>
      <w:tr w:rsidR="008042D5" w14:paraId="6B46F131" w14:textId="77777777">
        <w:tc>
          <w:tcPr>
            <w:tcW w:w="2880" w:type="dxa"/>
          </w:tcPr>
          <w:p w14:paraId="04F1B01E" w14:textId="77777777" w:rsidR="008042D5" w:rsidRDefault="00000000">
            <w:pPr>
              <w:spacing w:after="10" w:line="240" w:lineRule="auto"/>
            </w:pPr>
            <w:r>
              <w:rPr>
                <w:sz w:val="18"/>
              </w:rPr>
              <w:t>2</w:t>
            </w:r>
          </w:p>
        </w:tc>
        <w:tc>
          <w:tcPr>
            <w:tcW w:w="2880" w:type="dxa"/>
          </w:tcPr>
          <w:p w14:paraId="46FE2E10" w14:textId="77777777" w:rsidR="008042D5" w:rsidRDefault="00000000">
            <w:pPr>
              <w:spacing w:after="10" w:line="240" w:lineRule="auto"/>
            </w:pPr>
            <w:r>
              <w:rPr>
                <w:sz w:val="18"/>
              </w:rPr>
              <w:t>Medication Adherence for Seniors</w:t>
            </w:r>
          </w:p>
        </w:tc>
        <w:tc>
          <w:tcPr>
            <w:tcW w:w="2880" w:type="dxa"/>
          </w:tcPr>
          <w:p w14:paraId="2039FA60" w14:textId="77777777" w:rsidR="008042D5" w:rsidRDefault="00000000">
            <w:pPr>
              <w:spacing w:after="10" w:line="240" w:lineRule="auto"/>
            </w:pPr>
            <w:r>
              <w:rPr>
                <w:sz w:val="18"/>
              </w:rPr>
              <w:t>Older adults often juggle complex medication schedules, leading to missed doses or errors. A solution could combine simple reminders, packaging, and caregiver visibility to improve adherence. Human factors (cognition, accessibility, trust) and regulatory/safety constraints are central.</w:t>
            </w:r>
          </w:p>
        </w:tc>
      </w:tr>
      <w:tr w:rsidR="008042D5" w14:paraId="73177BB7" w14:textId="77777777">
        <w:tc>
          <w:tcPr>
            <w:tcW w:w="2880" w:type="dxa"/>
          </w:tcPr>
          <w:p w14:paraId="1B9FC71C" w14:textId="77777777" w:rsidR="008042D5" w:rsidRDefault="00000000">
            <w:pPr>
              <w:spacing w:after="10" w:line="240" w:lineRule="auto"/>
            </w:pPr>
            <w:r>
              <w:rPr>
                <w:sz w:val="18"/>
              </w:rPr>
              <w:t>3</w:t>
            </w:r>
          </w:p>
        </w:tc>
        <w:tc>
          <w:tcPr>
            <w:tcW w:w="2880" w:type="dxa"/>
          </w:tcPr>
          <w:p w14:paraId="5BA63CA3" w14:textId="77777777" w:rsidR="008042D5" w:rsidRDefault="00000000">
            <w:pPr>
              <w:spacing w:after="10" w:line="240" w:lineRule="auto"/>
            </w:pPr>
            <w:r>
              <w:rPr>
                <w:sz w:val="18"/>
              </w:rPr>
              <w:t>Accessible Public Transit Navigation</w:t>
            </w:r>
          </w:p>
        </w:tc>
        <w:tc>
          <w:tcPr>
            <w:tcW w:w="2880" w:type="dxa"/>
          </w:tcPr>
          <w:p w14:paraId="13710D4A" w14:textId="77777777" w:rsidR="008042D5" w:rsidRDefault="00000000">
            <w:pPr>
              <w:spacing w:after="10" w:line="240" w:lineRule="auto"/>
            </w:pPr>
            <w:r>
              <w:rPr>
                <w:sz w:val="18"/>
              </w:rPr>
              <w:t>People with disabilities face barriers navigating transit (e.g., elevator outages, unclear step-free routes). Improving transit apps/feeds to provide reliable, accessible routing and alerts can materially improve mobility and independence. Requires UX accessibility standards and integration with real-time data.</w:t>
            </w:r>
          </w:p>
        </w:tc>
      </w:tr>
      <w:tr w:rsidR="008042D5" w14:paraId="21CAC152" w14:textId="77777777">
        <w:tc>
          <w:tcPr>
            <w:tcW w:w="2880" w:type="dxa"/>
          </w:tcPr>
          <w:p w14:paraId="66F1FF48" w14:textId="77777777" w:rsidR="008042D5" w:rsidRDefault="00000000">
            <w:pPr>
              <w:spacing w:after="10" w:line="240" w:lineRule="auto"/>
            </w:pPr>
            <w:r>
              <w:rPr>
                <w:sz w:val="18"/>
              </w:rPr>
              <w:t>4</w:t>
            </w:r>
          </w:p>
        </w:tc>
        <w:tc>
          <w:tcPr>
            <w:tcW w:w="2880" w:type="dxa"/>
          </w:tcPr>
          <w:p w14:paraId="6CDB6B42" w14:textId="77777777" w:rsidR="008042D5" w:rsidRDefault="00000000">
            <w:pPr>
              <w:spacing w:after="10" w:line="240" w:lineRule="auto"/>
            </w:pPr>
            <w:r>
              <w:rPr>
                <w:sz w:val="18"/>
              </w:rPr>
              <w:t>Digital Overload in the Workplace</w:t>
            </w:r>
          </w:p>
        </w:tc>
        <w:tc>
          <w:tcPr>
            <w:tcW w:w="2880" w:type="dxa"/>
          </w:tcPr>
          <w:p w14:paraId="38AEB7B7" w14:textId="77777777" w:rsidR="008042D5" w:rsidRDefault="00000000">
            <w:pPr>
              <w:spacing w:after="10" w:line="240" w:lineRule="auto"/>
            </w:pPr>
            <w:r>
              <w:rPr>
                <w:sz w:val="18"/>
              </w:rPr>
              <w:t>Workers are overwhelmed by constant messages, meetings, and alerts. An intervention—policy or tool—could reduce low-value communication and help focus time on deep work. Measuring impact (e.g., interruption rate, task completion) and change management are key.</w:t>
            </w:r>
          </w:p>
        </w:tc>
      </w:tr>
      <w:tr w:rsidR="008042D5" w14:paraId="4DE70083" w14:textId="77777777">
        <w:tc>
          <w:tcPr>
            <w:tcW w:w="2880" w:type="dxa"/>
          </w:tcPr>
          <w:p w14:paraId="7A673875" w14:textId="77777777" w:rsidR="008042D5" w:rsidRDefault="00000000">
            <w:pPr>
              <w:spacing w:after="10" w:line="240" w:lineRule="auto"/>
            </w:pPr>
            <w:r>
              <w:rPr>
                <w:sz w:val="18"/>
              </w:rPr>
              <w:t>5</w:t>
            </w:r>
          </w:p>
        </w:tc>
        <w:tc>
          <w:tcPr>
            <w:tcW w:w="2880" w:type="dxa"/>
          </w:tcPr>
          <w:p w14:paraId="64EDE041" w14:textId="77777777" w:rsidR="008042D5" w:rsidRDefault="00000000">
            <w:pPr>
              <w:spacing w:after="10" w:line="240" w:lineRule="auto"/>
            </w:pPr>
            <w:r>
              <w:rPr>
                <w:sz w:val="18"/>
              </w:rPr>
              <w:t>Recycling Contamination in Smart Cities</w:t>
            </w:r>
          </w:p>
        </w:tc>
        <w:tc>
          <w:tcPr>
            <w:tcW w:w="2880" w:type="dxa"/>
          </w:tcPr>
          <w:p w14:paraId="14C11248" w14:textId="77777777" w:rsidR="008042D5" w:rsidRDefault="00000000">
            <w:pPr>
              <w:spacing w:after="10" w:line="240" w:lineRule="auto"/>
            </w:pPr>
            <w:r>
              <w:rPr>
                <w:sz w:val="18"/>
              </w:rPr>
              <w:t>Contamination causes recyclables to be landfilled and raises processing costs. A solution could blend just-in-time guidance (signage/app) with sensing or post-collection sorting support. Behavioral nudges and feedback loops would be important to sustain correct habits.</w:t>
            </w:r>
          </w:p>
        </w:tc>
      </w:tr>
    </w:tbl>
    <w:p w14:paraId="320B8FCF" w14:textId="77777777" w:rsidR="008042D5" w:rsidRDefault="008042D5">
      <w:pPr>
        <w:spacing w:after="20" w:line="240" w:lineRule="auto"/>
      </w:pPr>
    </w:p>
    <w:p w14:paraId="0098D976" w14:textId="77777777" w:rsidR="008042D5" w:rsidRDefault="00000000">
      <w:pPr>
        <w:pStyle w:val="Heading2"/>
        <w:spacing w:after="80"/>
      </w:pPr>
      <w:r>
        <w:rPr>
          <w:sz w:val="20"/>
        </w:rPr>
        <w:t>Evaluation of the Five Ideas &amp; Rationale for Selection</w:t>
      </w:r>
    </w:p>
    <w:p w14:paraId="1A02355F" w14:textId="5B6B73C6" w:rsidR="008042D5" w:rsidRPr="00F4017E" w:rsidRDefault="00000000">
      <w:pPr>
        <w:spacing w:after="20" w:line="240" w:lineRule="auto"/>
        <w:rPr>
          <w:rFonts w:eastAsia="SimSun" w:hint="eastAsia"/>
          <w:lang w:eastAsia="zh-CN"/>
        </w:rPr>
      </w:pPr>
      <w:r>
        <w:rPr>
          <w:sz w:val="18"/>
        </w:rPr>
        <w:t>All five ideas are authentic and valuable. The medication adherence concept scores very high on impact but may be harder to scope due to health/privacy constraints. Digital overload is feasible but difficult to validate beyond a small context. Accessible transit and recycling contamination both offer clear societal value and interesting data/UX challenges. The strongest balance across the criteria is **Urban Food Waste &amp; Food Rescue**: it features high social and environmental impact, multi-stakeholder process design, tractable secondary research, and known exemplars to benchmark for gaps. Therefore, I select **Urban Food Waste &amp; Food Rescue** for the contextual research plan.</w:t>
      </w:r>
      <w:r>
        <w:rPr>
          <w:sz w:val="18"/>
        </w:rPr>
        <w:br w:type="page"/>
      </w:r>
    </w:p>
    <w:p w14:paraId="0D33A5EC" w14:textId="77777777" w:rsidR="008042D5" w:rsidRDefault="00000000">
      <w:pPr>
        <w:pStyle w:val="Heading1"/>
      </w:pPr>
      <w:r>
        <w:lastRenderedPageBreak/>
        <w:t>Part 2 – Contextual Research Plan into Chosen Problem (max ~5 pages)</w:t>
      </w:r>
    </w:p>
    <w:p w14:paraId="1171152C" w14:textId="77777777" w:rsidR="008042D5" w:rsidRDefault="00000000">
      <w:pPr>
        <w:pStyle w:val="Heading2"/>
      </w:pPr>
      <w:r>
        <w:t>Step 1: Define Areas for Research</w:t>
      </w:r>
    </w:p>
    <w:p w14:paraId="3A45E292" w14:textId="77777777" w:rsidR="008042D5" w:rsidRDefault="00000000">
      <w:pPr>
        <w:pStyle w:val="Heading3"/>
      </w:pPr>
      <w:r>
        <w:t>Initial Problem Statement</w:t>
      </w:r>
    </w:p>
    <w:p w14:paraId="2611CD9D" w14:textId="77777777" w:rsidR="008042D5" w:rsidRDefault="00000000">
      <w:r>
        <w:t>In cities, large quantities of safe, edible food are discarded daily by restaurants, grocers, and cafeterias while many residents face food insecurity. A fast, trusted mechanism is needed to identify surplus food, match it to appropriate recipients, and move it within safety windows. The design challenge is to specify a process and information system that enables reliable, low-friction redistribution under constraints of perishability, safety, and logistics.</w:t>
      </w:r>
    </w:p>
    <w:p w14:paraId="1409B9F5" w14:textId="77777777" w:rsidR="008042D5" w:rsidRDefault="00000000">
      <w:pPr>
        <w:pStyle w:val="Heading3"/>
      </w:pPr>
      <w:r>
        <w:t>What is Known (from secondary sources and public reports)</w:t>
      </w:r>
    </w:p>
    <w:p w14:paraId="542FAF24" w14:textId="77777777" w:rsidR="008042D5" w:rsidRDefault="00000000">
      <w:r>
        <w:t>• Food waste is a documented sustainability and social issue; governments and NGOs have strategies to reduce it.</w:t>
      </w:r>
      <w:r>
        <w:br/>
        <w:t>• Only a fraction of surplus food is currently rescued; existing platforms and charities demonstrate partial but limited capture of this surplus.</w:t>
      </w:r>
      <w:r>
        <w:br/>
        <w:t>• Food insecurity coexists with surplus; charities report variable supply and resource constraints (transport, cold chain, volunteer availability).</w:t>
      </w:r>
      <w:r>
        <w:br/>
        <w:t>• Donation is permitted under guidelines and liability protections in many jurisdictions; best-practice guidance exists for safe handling.</w:t>
      </w:r>
      <w:r>
        <w:br/>
        <w:t>• Several solution archetypes exist: B2B donation matching platforms, consumer-facing ‘surplus deals’, community fridges, and coordinated NGO logistics.</w:t>
      </w:r>
    </w:p>
    <w:p w14:paraId="445EC854" w14:textId="77777777" w:rsidR="008042D5" w:rsidRDefault="00000000">
      <w:pPr>
        <w:pStyle w:val="Heading3"/>
      </w:pPr>
      <w:r>
        <w:t>What is Assumed (to be validated)</w:t>
      </w:r>
    </w:p>
    <w:p w14:paraId="0338069A" w14:textId="77777777" w:rsidR="008042D5" w:rsidRDefault="00000000">
      <w:r>
        <w:t>• Businesses will donate if the process is easy, timely, and liability-safe.</w:t>
      </w:r>
      <w:r>
        <w:br/>
        <w:t>• A lightweight marketplace model (real-time listings/matching) can efficiently connect donors and recipients.</w:t>
      </w:r>
      <w:r>
        <w:br/>
        <w:t>• Safety and quality can be preserved with clear rules, simple tooling (labels, time stamps, insulated carriers), and rapid pickup.</w:t>
      </w:r>
      <w:r>
        <w:br/>
        <w:t>• Non-monetary incentives (recognition, impact reporting) and/or small benefits (reduced disposal cost, tax receipts) can sustain participation.</w:t>
      </w:r>
    </w:p>
    <w:p w14:paraId="1761EB62" w14:textId="77777777" w:rsidR="008042D5" w:rsidRDefault="00000000">
      <w:pPr>
        <w:pStyle w:val="Heading3"/>
      </w:pPr>
      <w:r>
        <w:t>What is Unknown (research questions)</w:t>
      </w:r>
    </w:p>
    <w:p w14:paraId="228FD33E" w14:textId="77777777" w:rsidR="008042D5" w:rsidRDefault="00000000">
      <w:r>
        <w:t>• Which barriers matter most to donors (time, awareness, liability, storage, transport)?</w:t>
      </w:r>
      <w:r>
        <w:br/>
        <w:t>• Which items/conditions are most useful to recipients, and what causes rejection or waste at the receiving end?</w:t>
      </w:r>
      <w:r>
        <w:br/>
        <w:t>• Typical timing/volume patterns of surplus by donor type; implications for pickup capacity and routing.</w:t>
      </w:r>
      <w:r>
        <w:br/>
        <w:t>• Practical safety constraints and minimal viable controls (e.g., time-temperature rules) for prepared vs. packaged foods.</w:t>
      </w:r>
      <w:r>
        <w:br/>
        <w:t>• Sustainable incentive structures and governance (who operates the system, how costs are covered).</w:t>
      </w:r>
    </w:p>
    <w:p w14:paraId="02A7A454" w14:textId="77777777" w:rsidR="008042D5" w:rsidRDefault="00000000">
      <w:pPr>
        <w:pStyle w:val="Heading3"/>
      </w:pPr>
      <w:r>
        <w:t>Decomposition into Aspects</w:t>
      </w:r>
    </w:p>
    <w:p w14:paraId="7457E3D5" w14:textId="77777777" w:rsidR="008042D5" w:rsidRDefault="00000000">
      <w:r>
        <w:t>• Processes &amp; Steps: Surplus identification → listing &amp; matching → pickup/transport → distribution → feedback/impact logging.</w:t>
      </w:r>
    </w:p>
    <w:p w14:paraId="6ACC60DC" w14:textId="77777777" w:rsidR="008042D5" w:rsidRDefault="00000000">
      <w:r>
        <w:t>• People &amp; Roles: Donors (restaurants/grocers), recipients (food banks/shelters/community fridges), volunteer/driver network, coordinators, city/regulators.</w:t>
      </w:r>
    </w:p>
    <w:p w14:paraId="3DACB9DB" w14:textId="77777777" w:rsidR="008042D5" w:rsidRDefault="00000000">
      <w:r>
        <w:t>• Interactions: Donor ↔ platform; donor ↔ recipient; drivers ↔ donor/recipient; platform notifications, confirmations, receipts.</w:t>
      </w:r>
    </w:p>
    <w:p w14:paraId="2662C99F" w14:textId="77777777" w:rsidR="008042D5" w:rsidRDefault="00000000">
      <w:r>
        <w:lastRenderedPageBreak/>
        <w:t>• Environment &amp; Context: Urban density/traffic/parking; regulations; socioeconomic factors; tech readiness; seasonal/weather impacts.</w:t>
      </w:r>
    </w:p>
    <w:p w14:paraId="36DDA20B" w14:textId="77777777" w:rsidR="008042D5" w:rsidRDefault="00000000">
      <w:r>
        <w:t>• Analogous Contexts: Ride-hailing/delivery dispatch; charitable goods donation workflows; demand-response logistics; resource-sharing communities.</w:t>
      </w:r>
    </w:p>
    <w:p w14:paraId="6F9E4C32" w14:textId="77777777" w:rsidR="008042D5" w:rsidRDefault="00000000">
      <w:pPr>
        <w:pStyle w:val="Heading2"/>
      </w:pPr>
      <w:r>
        <w:t>Step 2: Define Sources and Methods</w:t>
      </w:r>
    </w:p>
    <w:p w14:paraId="26DE0FF4" w14:textId="77777777" w:rsidR="008042D5" w:rsidRDefault="00000000">
      <w:pPr>
        <w:pStyle w:val="Heading3"/>
      </w:pPr>
      <w:r>
        <w:t>Key Publications / Media / Databases</w:t>
      </w:r>
    </w:p>
    <w:p w14:paraId="3016CBCC" w14:textId="77777777" w:rsidR="008042D5" w:rsidRDefault="00000000">
      <w:r>
        <w:t>• Government/NGO reports on food loss and waste (e.g., Environment &amp; Climate Change Canada; municipal waste strategies; UN SDG 12.3 materials).</w:t>
      </w:r>
      <w:r>
        <w:br/>
        <w:t>• Research papers on donation logistics, last-mile rescue, safety in surplus redistribution, and behavior change in waste reduction (Scopus/Google Scholar).</w:t>
      </w:r>
      <w:r>
        <w:br/>
        <w:t>• Platforms and program sites (e.g., FoodRescue.ca, Too Good To Go, Olio) including FAQs, case studies, and any published impact stats.</w:t>
      </w:r>
      <w:r>
        <w:br/>
        <w:t>• Media coverage and practitioner blogs about food rescue operations, community fridges, and donor perspectives.</w:t>
      </w:r>
      <w:r>
        <w:br/>
        <w:t>• Local statistics/open data (food bank usage, waste audits) where available.</w:t>
      </w:r>
    </w:p>
    <w:p w14:paraId="759527E0" w14:textId="77777777" w:rsidR="008042D5" w:rsidRDefault="00000000">
      <w:pPr>
        <w:pStyle w:val="Heading3"/>
      </w:pPr>
      <w:r>
        <w:t>Key People / Stakeholders (for perspective gathering)</w:t>
      </w:r>
    </w:p>
    <w:p w14:paraId="7627A340" w14:textId="77777777" w:rsidR="008042D5" w:rsidRDefault="00000000">
      <w:r>
        <w:t>• Restaurant/café and grocery managers (donor practices and pain points).</w:t>
      </w:r>
      <w:r>
        <w:br/>
        <w:t>• Food bank/shelter coordinators (usefulness of donations, constraints, logistics).</w:t>
      </w:r>
      <w:r>
        <w:br/>
        <w:t>• Volunteer drivers/dispatchers (routing, handoff, cold chain practicalities).</w:t>
      </w:r>
      <w:r>
        <w:br/>
        <w:t>• City sustainability/health officials (guidelines, incentives, liability context).</w:t>
      </w:r>
    </w:p>
    <w:p w14:paraId="69AEB739" w14:textId="77777777" w:rsidR="008042D5" w:rsidRDefault="00000000">
      <w:pPr>
        <w:pStyle w:val="Heading3"/>
      </w:pPr>
      <w:r>
        <w:t>Methods for Collecting Information (secondary emphasis)</w:t>
      </w:r>
    </w:p>
    <w:p w14:paraId="6EB7F1FA" w14:textId="77777777" w:rsidR="008042D5" w:rsidRDefault="00000000">
      <w:r>
        <w:t>• Literature review with targeted keywords (e.g., “food donation logistics”, “surplus food rescue”, “community fridge operations”, “cold chain in food donation”).</w:t>
      </w:r>
      <w:r>
        <w:br/>
        <w:t>• Benchmarking of existing tools/programs: process mapping, feature comparison, identification of gaps/opportunities.</w:t>
      </w:r>
      <w:r>
        <w:br/>
        <w:t>• Media/social media scan for real-world pain points and successes (e.g., Reddit threads from donors/volunteers; local news case studies).</w:t>
      </w:r>
      <w:r>
        <w:br/>
        <w:t>• Optional brief stakeholder conversations or email exchanges (opportunistic, to validate assumptions or uncover blind spots).</w:t>
      </w:r>
      <w:r>
        <w:br/>
        <w:t>• Synthesis: content analysis; simple affinity clustering; needs/priorities mapping to identify “most important, least satisfied” needs.</w:t>
      </w:r>
    </w:p>
    <w:p w14:paraId="21CAEFB8" w14:textId="77777777" w:rsidR="008042D5" w:rsidRDefault="00000000">
      <w:pPr>
        <w:pStyle w:val="Heading2"/>
      </w:pPr>
      <w:r>
        <w:t>Step 3: Research Plan Timeline (to Milestone 3 – Oct 10)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92"/>
        <w:gridCol w:w="2880"/>
      </w:tblGrid>
      <w:tr w:rsidR="008042D5" w14:paraId="752D1019" w14:textId="77777777">
        <w:tc>
          <w:tcPr>
            <w:tcW w:w="2880" w:type="dxa"/>
          </w:tcPr>
          <w:p w14:paraId="015B2EE7" w14:textId="77777777" w:rsidR="008042D5" w:rsidRDefault="00000000">
            <w:r>
              <w:t>Task</w:t>
            </w:r>
          </w:p>
        </w:tc>
        <w:tc>
          <w:tcPr>
            <w:tcW w:w="2880" w:type="dxa"/>
          </w:tcPr>
          <w:p w14:paraId="22230B38" w14:textId="77777777" w:rsidR="008042D5" w:rsidRDefault="00000000">
            <w:r>
              <w:t>Method</w:t>
            </w:r>
          </w:p>
        </w:tc>
        <w:tc>
          <w:tcPr>
            <w:tcW w:w="2880" w:type="dxa"/>
          </w:tcPr>
          <w:p w14:paraId="357218C5" w14:textId="77777777" w:rsidR="008042D5" w:rsidRDefault="00000000">
            <w:r>
              <w:t>Time Estimate</w:t>
            </w:r>
          </w:p>
        </w:tc>
      </w:tr>
      <w:tr w:rsidR="008042D5" w14:paraId="6433E7CE" w14:textId="77777777">
        <w:tc>
          <w:tcPr>
            <w:tcW w:w="2880" w:type="dxa"/>
          </w:tcPr>
          <w:p w14:paraId="5CCF7F06" w14:textId="77777777" w:rsidR="008042D5" w:rsidRDefault="00000000">
            <w:r>
              <w:t>Review core reports &amp; 3–5 papers</w:t>
            </w:r>
          </w:p>
        </w:tc>
        <w:tc>
          <w:tcPr>
            <w:tcW w:w="2880" w:type="dxa"/>
          </w:tcPr>
          <w:p w14:paraId="1F48F168" w14:textId="77777777" w:rsidR="008042D5" w:rsidRDefault="00000000">
            <w:r>
              <w:t>Collect key government/NGO reports and academic articles; extract statistics and constraints</w:t>
            </w:r>
          </w:p>
        </w:tc>
        <w:tc>
          <w:tcPr>
            <w:tcW w:w="2880" w:type="dxa"/>
          </w:tcPr>
          <w:p w14:paraId="4C61EFA8" w14:textId="77777777" w:rsidR="008042D5" w:rsidRDefault="00000000">
            <w:r>
              <w:t>6 hours</w:t>
            </w:r>
          </w:p>
        </w:tc>
      </w:tr>
      <w:tr w:rsidR="008042D5" w14:paraId="2F8E6164" w14:textId="77777777">
        <w:tc>
          <w:tcPr>
            <w:tcW w:w="2880" w:type="dxa"/>
          </w:tcPr>
          <w:p w14:paraId="3650B9A1" w14:textId="77777777" w:rsidR="008042D5" w:rsidRDefault="00000000">
            <w:r>
              <w:t>Benchmark existing solutions</w:t>
            </w:r>
          </w:p>
        </w:tc>
        <w:tc>
          <w:tcPr>
            <w:tcW w:w="2880" w:type="dxa"/>
          </w:tcPr>
          <w:p w14:paraId="51EE2FA0" w14:textId="77777777" w:rsidR="008042D5" w:rsidRDefault="00000000">
            <w:r>
              <w:t xml:space="preserve">Analyze FoodRescue.ca, Too Good To Go, Olio, community fridge </w:t>
            </w:r>
            <w:r>
              <w:lastRenderedPageBreak/>
              <w:t>playbooks; feature/process comparison</w:t>
            </w:r>
          </w:p>
        </w:tc>
        <w:tc>
          <w:tcPr>
            <w:tcW w:w="2880" w:type="dxa"/>
          </w:tcPr>
          <w:p w14:paraId="39A5FAAC" w14:textId="77777777" w:rsidR="008042D5" w:rsidRDefault="00000000">
            <w:r>
              <w:lastRenderedPageBreak/>
              <w:t>5 hours</w:t>
            </w:r>
          </w:p>
        </w:tc>
      </w:tr>
      <w:tr w:rsidR="008042D5" w14:paraId="2580E812" w14:textId="77777777">
        <w:tc>
          <w:tcPr>
            <w:tcW w:w="2880" w:type="dxa"/>
          </w:tcPr>
          <w:p w14:paraId="043B090E" w14:textId="77777777" w:rsidR="008042D5" w:rsidRDefault="00000000">
            <w:r>
              <w:t>Stakeholder perspective scan</w:t>
            </w:r>
          </w:p>
        </w:tc>
        <w:tc>
          <w:tcPr>
            <w:tcW w:w="2880" w:type="dxa"/>
          </w:tcPr>
          <w:p w14:paraId="67D71BC0" w14:textId="77777777" w:rsidR="008042D5" w:rsidRDefault="00000000">
            <w:r>
              <w:t>Secondary sources (blogs/forums); optional 1–2 short conversations or emails with a donor/receiver</w:t>
            </w:r>
          </w:p>
        </w:tc>
        <w:tc>
          <w:tcPr>
            <w:tcW w:w="2880" w:type="dxa"/>
          </w:tcPr>
          <w:p w14:paraId="42508165" w14:textId="77777777" w:rsidR="008042D5" w:rsidRDefault="00000000">
            <w:r>
              <w:t>6 hours</w:t>
            </w:r>
          </w:p>
        </w:tc>
      </w:tr>
      <w:tr w:rsidR="008042D5" w14:paraId="50EED477" w14:textId="77777777">
        <w:tc>
          <w:tcPr>
            <w:tcW w:w="2880" w:type="dxa"/>
          </w:tcPr>
          <w:p w14:paraId="5D53AEFD" w14:textId="77777777" w:rsidR="008042D5" w:rsidRDefault="00000000">
            <w:r>
              <w:t>Regulatory &amp; best-practice review</w:t>
            </w:r>
          </w:p>
        </w:tc>
        <w:tc>
          <w:tcPr>
            <w:tcW w:w="2880" w:type="dxa"/>
          </w:tcPr>
          <w:p w14:paraId="6E6CFF71" w14:textId="77777777" w:rsidR="008042D5" w:rsidRDefault="00000000">
            <w:r>
              <w:t>Summarize donation guidelines, liability protections, and minimal safety controls for various food types</w:t>
            </w:r>
          </w:p>
        </w:tc>
        <w:tc>
          <w:tcPr>
            <w:tcW w:w="2880" w:type="dxa"/>
          </w:tcPr>
          <w:p w14:paraId="66908297" w14:textId="77777777" w:rsidR="008042D5" w:rsidRDefault="00000000">
            <w:r>
              <w:t>4 hours</w:t>
            </w:r>
          </w:p>
        </w:tc>
      </w:tr>
      <w:tr w:rsidR="008042D5" w14:paraId="57910658" w14:textId="77777777">
        <w:tc>
          <w:tcPr>
            <w:tcW w:w="2880" w:type="dxa"/>
          </w:tcPr>
          <w:p w14:paraId="7559AB80" w14:textId="77777777" w:rsidR="008042D5" w:rsidRDefault="00000000">
            <w:r>
              <w:t>Analogous models exploration</w:t>
            </w:r>
          </w:p>
        </w:tc>
        <w:tc>
          <w:tcPr>
            <w:tcW w:w="2880" w:type="dxa"/>
          </w:tcPr>
          <w:p w14:paraId="0C153847" w14:textId="77777777" w:rsidR="008042D5" w:rsidRDefault="00000000">
            <w:r>
              <w:t>Review ride-hailing/dispatch optimization and community resource-sharing insights for transferable ideas</w:t>
            </w:r>
          </w:p>
        </w:tc>
        <w:tc>
          <w:tcPr>
            <w:tcW w:w="2880" w:type="dxa"/>
          </w:tcPr>
          <w:p w14:paraId="251CA920" w14:textId="77777777" w:rsidR="008042D5" w:rsidRDefault="00000000">
            <w:r>
              <w:t>3 hours</w:t>
            </w:r>
          </w:p>
        </w:tc>
      </w:tr>
      <w:tr w:rsidR="008042D5" w14:paraId="3ECB354C" w14:textId="77777777">
        <w:tc>
          <w:tcPr>
            <w:tcW w:w="2880" w:type="dxa"/>
          </w:tcPr>
          <w:p w14:paraId="71AD3003" w14:textId="77777777" w:rsidR="008042D5" w:rsidRDefault="00000000">
            <w:r>
              <w:t>Synthesis &amp; problem refinement</w:t>
            </w:r>
          </w:p>
        </w:tc>
        <w:tc>
          <w:tcPr>
            <w:tcW w:w="2880" w:type="dxa"/>
          </w:tcPr>
          <w:p w14:paraId="1C17DF53" w14:textId="77777777" w:rsidR="008042D5" w:rsidRDefault="00000000">
            <w:r>
              <w:t>Affinity themes, needs/priorities matrix; initial system requirements/opportunities draft</w:t>
            </w:r>
          </w:p>
        </w:tc>
        <w:tc>
          <w:tcPr>
            <w:tcW w:w="2880" w:type="dxa"/>
          </w:tcPr>
          <w:p w14:paraId="5ADF2CEC" w14:textId="77777777" w:rsidR="008042D5" w:rsidRDefault="00000000">
            <w:r>
              <w:t>4 hours</w:t>
            </w:r>
          </w:p>
        </w:tc>
      </w:tr>
      <w:tr w:rsidR="008042D5" w14:paraId="424CE832" w14:textId="77777777">
        <w:tc>
          <w:tcPr>
            <w:tcW w:w="2880" w:type="dxa"/>
          </w:tcPr>
          <w:p w14:paraId="14C87D1A" w14:textId="77777777" w:rsidR="008042D5" w:rsidRDefault="00000000">
            <w:r>
              <w:t>Optional additional interviews</w:t>
            </w:r>
          </w:p>
        </w:tc>
        <w:tc>
          <w:tcPr>
            <w:tcW w:w="2880" w:type="dxa"/>
          </w:tcPr>
          <w:p w14:paraId="6A7415C6" w14:textId="77777777" w:rsidR="008042D5" w:rsidRDefault="00000000">
            <w:r>
              <w:t>If available, 1–2 targeted chats (e.g., city official/food bank coordinator) to close key unknowns</w:t>
            </w:r>
          </w:p>
        </w:tc>
        <w:tc>
          <w:tcPr>
            <w:tcW w:w="2880" w:type="dxa"/>
          </w:tcPr>
          <w:p w14:paraId="02744A24" w14:textId="77777777" w:rsidR="008042D5" w:rsidRDefault="00000000">
            <w:r>
              <w:t>3 hours</w:t>
            </w:r>
          </w:p>
        </w:tc>
      </w:tr>
    </w:tbl>
    <w:p w14:paraId="4BE0C6FE" w14:textId="44454A12" w:rsidR="008042D5" w:rsidRPr="00F4017E" w:rsidRDefault="008042D5">
      <w:pPr>
        <w:rPr>
          <w:rFonts w:eastAsia="SimSun" w:hint="eastAsia"/>
          <w:lang w:eastAsia="zh-CN"/>
        </w:rPr>
      </w:pPr>
    </w:p>
    <w:sectPr w:rsidR="008042D5" w:rsidRPr="00F4017E" w:rsidSect="00034616">
      <w:pgSz w:w="12240" w:h="15840"/>
      <w:pgMar w:top="864" w:right="936" w:bottom="864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6352854">
    <w:abstractNumId w:val="8"/>
  </w:num>
  <w:num w:numId="2" w16cid:durableId="1178816042">
    <w:abstractNumId w:val="6"/>
  </w:num>
  <w:num w:numId="3" w16cid:durableId="285964840">
    <w:abstractNumId w:val="5"/>
  </w:num>
  <w:num w:numId="4" w16cid:durableId="931552704">
    <w:abstractNumId w:val="4"/>
  </w:num>
  <w:num w:numId="5" w16cid:durableId="958415526">
    <w:abstractNumId w:val="7"/>
  </w:num>
  <w:num w:numId="6" w16cid:durableId="593166649">
    <w:abstractNumId w:val="3"/>
  </w:num>
  <w:num w:numId="7" w16cid:durableId="892472179">
    <w:abstractNumId w:val="2"/>
  </w:num>
  <w:num w:numId="8" w16cid:durableId="36783573">
    <w:abstractNumId w:val="1"/>
  </w:num>
  <w:num w:numId="9" w16cid:durableId="188167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42D5"/>
    <w:rsid w:val="009C1BE1"/>
    <w:rsid w:val="00AA1D8D"/>
    <w:rsid w:val="00B47730"/>
    <w:rsid w:val="00CB0664"/>
    <w:rsid w:val="00F4017E"/>
    <w:rsid w:val="00F51E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44B2D"/>
  <w14:defaultImageDpi w14:val="300"/>
  <w15:docId w15:val="{CDE4D101-32AF-4A86-B89A-11DEF2FA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Huang</cp:lastModifiedBy>
  <cp:revision>2</cp:revision>
  <dcterms:created xsi:type="dcterms:W3CDTF">2013-12-23T23:15:00Z</dcterms:created>
  <dcterms:modified xsi:type="dcterms:W3CDTF">2025-09-16T01:29:00Z</dcterms:modified>
  <cp:category/>
</cp:coreProperties>
</file>