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4751DD" w:rsidRPr="004751DD" w14:paraId="4F8E7BEA" w14:textId="77777777" w:rsidTr="00B27639">
        <w:tc>
          <w:tcPr>
            <w:tcW w:w="9016" w:type="dxa"/>
          </w:tcPr>
          <w:p w14:paraId="0943A015" w14:textId="499DA65C" w:rsidR="004751DD" w:rsidRPr="00134701" w:rsidRDefault="00134701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34701">
              <w:rPr>
                <w:rFonts w:ascii="Arial" w:hAnsi="Arial" w:cs="Arial"/>
                <w:b/>
                <w:bCs/>
                <w:sz w:val="18"/>
                <w:szCs w:val="18"/>
              </w:rPr>
              <w:t>POLÍTICA DE SEGREGAÇÃO DE A</w:t>
            </w:r>
            <w:r w:rsidR="00DB6447"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  <w:r w:rsidRPr="00134701">
              <w:rPr>
                <w:rFonts w:ascii="Arial" w:hAnsi="Arial" w:cs="Arial"/>
                <w:b/>
                <w:bCs/>
                <w:sz w:val="18"/>
                <w:szCs w:val="18"/>
              </w:rPr>
              <w:t>TIVIDADES E INDEPENDÊNCIA DA NOTAÇÃO DE RISCO</w:t>
            </w:r>
          </w:p>
          <w:p w14:paraId="598E9F9F" w14:textId="54DE4890" w:rsidR="00134701" w:rsidRPr="004751DD" w:rsidRDefault="00134701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51DD" w:rsidRPr="004751DD" w14:paraId="063B1D48" w14:textId="77777777" w:rsidTr="00B27639">
        <w:tc>
          <w:tcPr>
            <w:tcW w:w="9016" w:type="dxa"/>
          </w:tcPr>
          <w:p w14:paraId="01FCEB8C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1. Objecto</w:t>
            </w:r>
          </w:p>
          <w:p w14:paraId="5EE51D5E" w14:textId="3ABDF2FF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A presente Política de Segregação de Atividades e Independência da Notação de Risco estabelece os princípios, regras e mecanismos adoptados pela OP-ILUNGI Prestação de Serviços (SU), Lda. para assegurar a independência, imparcialidade, objectividade e credibilidade da actividade de Notação de Risco, em conformidade com o Regulamento n.º 8/16, de 6 de Julho, da Comissão do Mercado de Capitais (CMC).</w:t>
            </w:r>
          </w:p>
          <w:p w14:paraId="16A4923E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Esta política aplica-se a todos os órgãos sociais, colaboradores, prestadores de serviços e entidades subcontratadas que, directa ou indirectamente, se relacionem com a actividade de notação de risco.</w:t>
            </w:r>
          </w:p>
          <w:p w14:paraId="428B1F01" w14:textId="571C0CB7" w:rsidR="00706AF2" w:rsidRPr="00691BCD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E3131F7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2. Princípios Gerais</w:t>
            </w:r>
          </w:p>
          <w:p w14:paraId="7056D14E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A ILUNGI orienta a sua actuação pelos seguintes princípios fundamentais:</w:t>
            </w:r>
          </w:p>
          <w:p w14:paraId="4DA891D9" w14:textId="77777777" w:rsidR="00706AF2" w:rsidRPr="00706AF2" w:rsidRDefault="00706AF2" w:rsidP="00691BCD">
            <w:pPr>
              <w:numPr>
                <w:ilvl w:val="0"/>
                <w:numId w:val="45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Independência funcional, técnica e decisória da actividade de Notação de Risco;</w:t>
            </w:r>
          </w:p>
          <w:p w14:paraId="56F01D0E" w14:textId="77777777" w:rsidR="00706AF2" w:rsidRPr="00706AF2" w:rsidRDefault="00706AF2" w:rsidP="00691BCD">
            <w:pPr>
              <w:numPr>
                <w:ilvl w:val="0"/>
                <w:numId w:val="45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Segregação efectiva entre a Notação de Risco e as restantes linhas de prestação de serviços;</w:t>
            </w:r>
          </w:p>
          <w:p w14:paraId="54977927" w14:textId="77777777" w:rsidR="00706AF2" w:rsidRPr="00706AF2" w:rsidRDefault="00706AF2" w:rsidP="00691BCD">
            <w:pPr>
              <w:numPr>
                <w:ilvl w:val="0"/>
                <w:numId w:val="45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Prevenção e gestão de conflitos de interesses;</w:t>
            </w:r>
          </w:p>
          <w:p w14:paraId="520FA98E" w14:textId="77777777" w:rsidR="00706AF2" w:rsidRPr="00706AF2" w:rsidRDefault="00706AF2" w:rsidP="00691BCD">
            <w:pPr>
              <w:numPr>
                <w:ilvl w:val="0"/>
                <w:numId w:val="45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Confidencialidade e protecção da informação sensível;</w:t>
            </w:r>
          </w:p>
          <w:p w14:paraId="3DE88500" w14:textId="77777777" w:rsidR="00706AF2" w:rsidRPr="00706AF2" w:rsidRDefault="00706AF2" w:rsidP="00691BCD">
            <w:pPr>
              <w:numPr>
                <w:ilvl w:val="0"/>
                <w:numId w:val="45"/>
              </w:num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06AF2">
              <w:rPr>
                <w:rFonts w:ascii="Arial" w:hAnsi="Arial" w:cs="Arial"/>
                <w:sz w:val="18"/>
                <w:szCs w:val="18"/>
                <w:lang w:val="en-US"/>
              </w:rPr>
              <w:t>Transparência e responsabilidade institucional.</w:t>
            </w:r>
          </w:p>
          <w:p w14:paraId="1C4337BB" w14:textId="7B2F0D3E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59BDB588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3. Estrutura de Segregação Organizacional</w:t>
            </w:r>
          </w:p>
          <w:p w14:paraId="5DEA0FE0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3.1. Serviço de Notação de Risco</w:t>
            </w:r>
          </w:p>
          <w:p w14:paraId="1BD77CB2" w14:textId="36D4794C" w:rsidR="00706AF2" w:rsidRPr="00706AF2" w:rsidRDefault="00E9783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47AD">
              <w:rPr>
                <w:rFonts w:ascii="Arial" w:hAnsi="Arial" w:cs="Arial"/>
                <w:sz w:val="18"/>
                <w:szCs w:val="18"/>
              </w:rPr>
              <w:t xml:space="preserve">O </w:t>
            </w:r>
            <w:r w:rsidR="00706AF2" w:rsidRPr="00706AF2">
              <w:rPr>
                <w:rFonts w:ascii="Arial" w:hAnsi="Arial" w:cs="Arial"/>
                <w:sz w:val="18"/>
                <w:szCs w:val="18"/>
              </w:rPr>
              <w:t xml:space="preserve">Serviço de Notação de Risco, </w:t>
            </w:r>
            <w:r w:rsidRPr="008247AD">
              <w:rPr>
                <w:rFonts w:ascii="Arial" w:hAnsi="Arial" w:cs="Arial"/>
                <w:sz w:val="18"/>
                <w:szCs w:val="18"/>
              </w:rPr>
              <w:t xml:space="preserve">está </w:t>
            </w:r>
            <w:r w:rsidR="00706AF2" w:rsidRPr="00706AF2">
              <w:rPr>
                <w:rFonts w:ascii="Arial" w:hAnsi="Arial" w:cs="Arial"/>
                <w:sz w:val="18"/>
                <w:szCs w:val="18"/>
              </w:rPr>
              <w:t>integrad</w:t>
            </w:r>
            <w:r w:rsidRPr="008247AD">
              <w:rPr>
                <w:rFonts w:ascii="Arial" w:hAnsi="Arial" w:cs="Arial"/>
                <w:sz w:val="18"/>
                <w:szCs w:val="18"/>
              </w:rPr>
              <w:t>o</w:t>
            </w:r>
            <w:r w:rsidR="00706AF2" w:rsidRPr="00706AF2">
              <w:rPr>
                <w:rFonts w:ascii="Arial" w:hAnsi="Arial" w:cs="Arial"/>
                <w:sz w:val="18"/>
                <w:szCs w:val="18"/>
              </w:rPr>
              <w:t xml:space="preserve"> na estrutura organizacional da </w:t>
            </w:r>
            <w:r w:rsidRPr="008247AD">
              <w:rPr>
                <w:rFonts w:ascii="Arial" w:hAnsi="Arial" w:cs="Arial"/>
                <w:sz w:val="18"/>
                <w:szCs w:val="18"/>
              </w:rPr>
              <w:t>OP-</w:t>
            </w:r>
            <w:r w:rsidR="00706AF2" w:rsidRPr="00706AF2">
              <w:rPr>
                <w:rFonts w:ascii="Arial" w:hAnsi="Arial" w:cs="Arial"/>
                <w:sz w:val="18"/>
                <w:szCs w:val="18"/>
              </w:rPr>
              <w:t>ILUNGI</w:t>
            </w:r>
            <w:r w:rsidR="00691B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06AF2" w:rsidRPr="00706AF2">
              <w:rPr>
                <w:rFonts w:ascii="Arial" w:hAnsi="Arial" w:cs="Arial"/>
                <w:sz w:val="18"/>
                <w:szCs w:val="18"/>
              </w:rPr>
              <w:t>Prestação de Serviços</w:t>
            </w:r>
            <w:r w:rsidRPr="008247AD">
              <w:rPr>
                <w:rFonts w:ascii="Arial" w:hAnsi="Arial" w:cs="Arial"/>
                <w:sz w:val="18"/>
                <w:szCs w:val="18"/>
              </w:rPr>
              <w:t xml:space="preserve"> (SU)</w:t>
            </w:r>
            <w:r w:rsidR="00706AF2" w:rsidRPr="00706AF2">
              <w:rPr>
                <w:rFonts w:ascii="Arial" w:hAnsi="Arial" w:cs="Arial"/>
                <w:sz w:val="18"/>
                <w:szCs w:val="18"/>
              </w:rPr>
              <w:t>, Lda., enquanto a</w:t>
            </w:r>
            <w:r w:rsidR="008247AD" w:rsidRPr="008247AD">
              <w:rPr>
                <w:rFonts w:ascii="Arial" w:hAnsi="Arial" w:cs="Arial"/>
                <w:sz w:val="18"/>
                <w:szCs w:val="18"/>
              </w:rPr>
              <w:t>c</w:t>
            </w:r>
            <w:r w:rsidR="00706AF2" w:rsidRPr="00706AF2">
              <w:rPr>
                <w:rFonts w:ascii="Arial" w:hAnsi="Arial" w:cs="Arial"/>
                <w:sz w:val="18"/>
                <w:szCs w:val="18"/>
              </w:rPr>
              <w:t>tividade específica regulada, funciona sob a estrutura hierárquica da ILUNGI, reportando à Direcção Geral nos termos organizacionais definidos, sem prejuízo da aplicação de regras próprias de independência funcional, técnica e decisória, exigidas pela legislação aplicável.</w:t>
            </w:r>
          </w:p>
          <w:p w14:paraId="34D77608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A segregação prevista na presente política é funcional e procedimental, e não societária, financeira ou estrutural, tendo como finalidade exclusiva prevenir conflitos de interesses e assegurar a credibilidade das notações emitidas.</w:t>
            </w:r>
          </w:p>
          <w:p w14:paraId="522520CC" w14:textId="693FB3B5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56801FB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3.2. Áreas de Serviços Segregadas</w:t>
            </w:r>
          </w:p>
          <w:p w14:paraId="3220EC27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As seguintes áreas de prestação de serviços, embora integradas na mesma estrutura organizacional, encontram-se formalmente segregadas da Serviço de Notação de Risco:</w:t>
            </w:r>
          </w:p>
          <w:p w14:paraId="34105249" w14:textId="22B1EBE3" w:rsidR="00706AF2" w:rsidRPr="00706AF2" w:rsidRDefault="00706AF2" w:rsidP="00691BCD">
            <w:pPr>
              <w:numPr>
                <w:ilvl w:val="0"/>
                <w:numId w:val="47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 xml:space="preserve">Consultoria e Auditoria em Sistemas de Gestão </w:t>
            </w:r>
            <w:r w:rsidR="002E65AD">
              <w:rPr>
                <w:rFonts w:ascii="Arial" w:hAnsi="Arial" w:cs="Arial"/>
                <w:sz w:val="18"/>
                <w:szCs w:val="18"/>
              </w:rPr>
              <w:t>&amp;</w:t>
            </w:r>
            <w:r w:rsidRPr="00706AF2">
              <w:rPr>
                <w:rFonts w:ascii="Arial" w:hAnsi="Arial" w:cs="Arial"/>
                <w:sz w:val="18"/>
                <w:szCs w:val="18"/>
              </w:rPr>
              <w:t xml:space="preserve"> Projectos;</w:t>
            </w:r>
          </w:p>
          <w:p w14:paraId="7131843F" w14:textId="77777777" w:rsidR="00706AF2" w:rsidRPr="00706AF2" w:rsidRDefault="00706AF2" w:rsidP="00691BCD">
            <w:pPr>
              <w:numPr>
                <w:ilvl w:val="0"/>
                <w:numId w:val="47"/>
              </w:num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06AF2">
              <w:rPr>
                <w:rFonts w:ascii="Arial" w:hAnsi="Arial" w:cs="Arial"/>
                <w:sz w:val="18"/>
                <w:szCs w:val="18"/>
                <w:lang w:val="en-US"/>
              </w:rPr>
              <w:t>Treinamento (Academia ILUNGI e School of Corporate Reputation);</w:t>
            </w:r>
          </w:p>
          <w:p w14:paraId="13AB5AE7" w14:textId="77777777" w:rsidR="00706AF2" w:rsidRPr="00706AF2" w:rsidRDefault="00706AF2" w:rsidP="00691BCD">
            <w:pPr>
              <w:numPr>
                <w:ilvl w:val="0"/>
                <w:numId w:val="47"/>
              </w:num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06AF2">
              <w:rPr>
                <w:rFonts w:ascii="Arial" w:hAnsi="Arial" w:cs="Arial"/>
                <w:sz w:val="18"/>
                <w:szCs w:val="18"/>
                <w:lang w:val="en-US"/>
              </w:rPr>
              <w:t>Procurement;</w:t>
            </w:r>
          </w:p>
          <w:p w14:paraId="2FCB06B1" w14:textId="77777777" w:rsidR="00706AF2" w:rsidRPr="00706AF2" w:rsidRDefault="00706AF2" w:rsidP="00691BCD">
            <w:pPr>
              <w:numPr>
                <w:ilvl w:val="0"/>
                <w:numId w:val="47"/>
              </w:num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06AF2">
              <w:rPr>
                <w:rFonts w:ascii="Arial" w:hAnsi="Arial" w:cs="Arial"/>
                <w:sz w:val="18"/>
                <w:szCs w:val="18"/>
                <w:lang w:val="en-US"/>
              </w:rPr>
              <w:t>Assistência &amp; Soluções de Tecnologia;</w:t>
            </w:r>
          </w:p>
          <w:p w14:paraId="7927FD7E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Estas áreas não intervêm, directa ou indirectamente, nos processos de análise, deliberação, aprovação ou revisão de notações de risco.</w:t>
            </w:r>
          </w:p>
          <w:p w14:paraId="0E34BB65" w14:textId="6208804E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805C578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4. Independência Funcional e Decisória</w:t>
            </w:r>
          </w:p>
          <w:p w14:paraId="307553C7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4.1. Direcção Geral</w:t>
            </w:r>
          </w:p>
          <w:p w14:paraId="201BC233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06AF2">
              <w:rPr>
                <w:rFonts w:ascii="Arial" w:hAnsi="Arial" w:cs="Arial"/>
                <w:sz w:val="18"/>
                <w:szCs w:val="18"/>
                <w:lang w:val="en-US"/>
              </w:rPr>
              <w:t>A Direcção Geral:</w:t>
            </w:r>
          </w:p>
          <w:p w14:paraId="63F5EE40" w14:textId="77777777" w:rsidR="00706AF2" w:rsidRPr="00706AF2" w:rsidRDefault="00706AF2" w:rsidP="00691BCD">
            <w:pPr>
              <w:numPr>
                <w:ilvl w:val="0"/>
                <w:numId w:val="48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assegura os meios necessários ao funcionamento da actividade de Notação de Risco;</w:t>
            </w:r>
          </w:p>
          <w:p w14:paraId="6CC1F147" w14:textId="77777777" w:rsidR="00706AF2" w:rsidRPr="00706AF2" w:rsidRDefault="00706AF2" w:rsidP="00691BCD">
            <w:pPr>
              <w:numPr>
                <w:ilvl w:val="0"/>
                <w:numId w:val="48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não participa em análises, deliberações, decisões ou revisões de notações de risco;</w:t>
            </w:r>
          </w:p>
          <w:p w14:paraId="67521D70" w14:textId="77777777" w:rsidR="00706AF2" w:rsidRPr="00706AF2" w:rsidRDefault="00706AF2" w:rsidP="00691BCD">
            <w:pPr>
              <w:numPr>
                <w:ilvl w:val="0"/>
                <w:numId w:val="48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não interfere nos critérios técnicos ou metodológicos aplicáveis à actividade de Notação de Risco.</w:t>
            </w:r>
          </w:p>
          <w:p w14:paraId="54403A36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4.2. Comité de Notação de Risco</w:t>
            </w:r>
          </w:p>
          <w:p w14:paraId="3F06125E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A atribuição, revisão, suspensão ou retirada de notações de risco é da competência exclusiva do Comité de Notação de Risco, órgão colegial independente.</w:t>
            </w:r>
          </w:p>
          <w:p w14:paraId="66FB7770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O Comité delibera com base em critérios técnicos, objectivos e documentados, estando vedada qualquer interferência de natureza comercial, estratégica ou financeira.</w:t>
            </w:r>
          </w:p>
          <w:p w14:paraId="5821F4FA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4.3. Analistas de Notação de Risco</w:t>
            </w:r>
          </w:p>
          <w:p w14:paraId="29C00D3D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Os Analistas de Notação de Risco:</w:t>
            </w:r>
          </w:p>
          <w:p w14:paraId="47C89EA6" w14:textId="77777777" w:rsidR="00706AF2" w:rsidRPr="00706AF2" w:rsidRDefault="00706AF2" w:rsidP="00691BCD">
            <w:pPr>
              <w:numPr>
                <w:ilvl w:val="0"/>
                <w:numId w:val="49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exercem funções exclusivamente ligadas à actividade de notação;</w:t>
            </w:r>
          </w:p>
          <w:p w14:paraId="767B16B3" w14:textId="77777777" w:rsidR="00706AF2" w:rsidRPr="00706AF2" w:rsidRDefault="00706AF2" w:rsidP="00691BCD">
            <w:pPr>
              <w:numPr>
                <w:ilvl w:val="0"/>
                <w:numId w:val="49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não desempenham actividades comerciais, de consultoria, formação, procurement ou tecnologia;</w:t>
            </w:r>
          </w:p>
          <w:p w14:paraId="6B22CD68" w14:textId="77777777" w:rsidR="00706AF2" w:rsidRPr="00706AF2" w:rsidRDefault="00706AF2" w:rsidP="00691BCD">
            <w:pPr>
              <w:numPr>
                <w:ilvl w:val="0"/>
                <w:numId w:val="49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não participam na captação de clientes;</w:t>
            </w:r>
          </w:p>
          <w:p w14:paraId="312EFCB4" w14:textId="77777777" w:rsidR="00706AF2" w:rsidRPr="00706AF2" w:rsidRDefault="00706AF2" w:rsidP="00691BCD">
            <w:pPr>
              <w:numPr>
                <w:ilvl w:val="0"/>
                <w:numId w:val="49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não recebem remuneração variável associada ao volume de notações ou a resultados comerciais.</w:t>
            </w:r>
          </w:p>
          <w:p w14:paraId="72A14AD9" w14:textId="6EB5E984" w:rsidR="00706AF2" w:rsidRPr="00691BCD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0C14F49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5. Proibição de Cruzamento de Serviços</w:t>
            </w:r>
          </w:p>
          <w:p w14:paraId="4AAA0C08" w14:textId="77777777" w:rsidR="00691BCD" w:rsidRPr="00691BCD" w:rsidRDefault="00691BCD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91BCD">
              <w:rPr>
                <w:rFonts w:ascii="Arial" w:hAnsi="Arial" w:cs="Arial"/>
                <w:sz w:val="18"/>
                <w:szCs w:val="18"/>
              </w:rPr>
              <w:t>A ILUNGI procede à avaliação prévia de potenciais conflitos de interesses antes do início de qualquer processo de notação de risco.</w:t>
            </w:r>
          </w:p>
          <w:p w14:paraId="789C7029" w14:textId="77777777" w:rsidR="00691BCD" w:rsidRPr="00691BCD" w:rsidRDefault="00691BCD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487CC42" w14:textId="77777777" w:rsidR="00691BCD" w:rsidRPr="00691BCD" w:rsidRDefault="00691BCD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91BCD">
              <w:rPr>
                <w:rFonts w:ascii="Arial" w:hAnsi="Arial" w:cs="Arial"/>
                <w:sz w:val="18"/>
                <w:szCs w:val="18"/>
              </w:rPr>
              <w:lastRenderedPageBreak/>
              <w:t>A prestação anterior de serviços de consultoria, auditoria, implementação de sistemas ou serviços tecnológicos críticos pode constituir impedimento à realização da notação de risco, mediante avaliação e deliberação do Comité de Notação de Risco, nos termos da Política de Segregação.</w:t>
            </w:r>
          </w:p>
          <w:p w14:paraId="08B3C118" w14:textId="77777777" w:rsidR="00691BCD" w:rsidRPr="00691BCD" w:rsidRDefault="00691BCD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C2737BC" w14:textId="73036346" w:rsidR="00706AF2" w:rsidRDefault="00691BCD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91BCD">
              <w:rPr>
                <w:rFonts w:ascii="Arial" w:hAnsi="Arial" w:cs="Arial"/>
                <w:sz w:val="18"/>
                <w:szCs w:val="18"/>
              </w:rPr>
              <w:t>A prestação de serviços de formação ou capacitação de natureza genérica, sem acesso a informação sensível, não constitui, por si só, impedimento automático à realização da notação de risco.</w:t>
            </w:r>
          </w:p>
          <w:p w14:paraId="16BF61D9" w14:textId="77777777" w:rsidR="00691BCD" w:rsidRPr="00706AF2" w:rsidRDefault="00691BCD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791FFA4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6. Gestão de Conflitos de Interesses</w:t>
            </w:r>
          </w:p>
          <w:p w14:paraId="5708EFF9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6.1. Identificação e Declaração</w:t>
            </w:r>
          </w:p>
          <w:p w14:paraId="0CEB028B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Todos os colaboradores envolvidos na actividade de notação de risco devem:</w:t>
            </w:r>
          </w:p>
          <w:p w14:paraId="2ECD553B" w14:textId="77777777" w:rsidR="00706AF2" w:rsidRPr="00706AF2" w:rsidRDefault="00706AF2" w:rsidP="00691BCD">
            <w:pPr>
              <w:numPr>
                <w:ilvl w:val="0"/>
                <w:numId w:val="5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declarar previamente quaisquer potenciais conflitos de interesses;</w:t>
            </w:r>
          </w:p>
          <w:p w14:paraId="164B7DE5" w14:textId="77777777" w:rsidR="00706AF2" w:rsidRPr="00706AF2" w:rsidRDefault="00706AF2" w:rsidP="00691BCD">
            <w:pPr>
              <w:numPr>
                <w:ilvl w:val="0"/>
                <w:numId w:val="5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actualizar essas declarações sempre que ocorram alterações relevantes.</w:t>
            </w:r>
          </w:p>
          <w:p w14:paraId="69297C47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6.2. Medidas de Mitigação</w:t>
            </w:r>
          </w:p>
          <w:p w14:paraId="77919192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As medidas adoptadas incluem, entre outras:</w:t>
            </w:r>
          </w:p>
          <w:p w14:paraId="268A8FD1" w14:textId="77777777" w:rsidR="00706AF2" w:rsidRPr="00706AF2" w:rsidRDefault="00706AF2" w:rsidP="00691BCD">
            <w:pPr>
              <w:numPr>
                <w:ilvl w:val="0"/>
                <w:numId w:val="52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impedimento de participação em processos específicos;</w:t>
            </w:r>
          </w:p>
          <w:p w14:paraId="2CBC0F7B" w14:textId="77777777" w:rsidR="00706AF2" w:rsidRPr="00706AF2" w:rsidRDefault="00706AF2" w:rsidP="00691BCD">
            <w:pPr>
              <w:numPr>
                <w:ilvl w:val="0"/>
                <w:numId w:val="52"/>
              </w:num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06AF2">
              <w:rPr>
                <w:rFonts w:ascii="Arial" w:hAnsi="Arial" w:cs="Arial"/>
                <w:sz w:val="18"/>
                <w:szCs w:val="18"/>
                <w:lang w:val="en-US"/>
              </w:rPr>
              <w:t>substituição de analistas;</w:t>
            </w:r>
          </w:p>
          <w:p w14:paraId="45AAB142" w14:textId="77777777" w:rsidR="00706AF2" w:rsidRPr="00706AF2" w:rsidRDefault="00706AF2" w:rsidP="00691BCD">
            <w:pPr>
              <w:numPr>
                <w:ilvl w:val="0"/>
                <w:numId w:val="52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revisão independente por membros não envolvidos;</w:t>
            </w:r>
          </w:p>
          <w:p w14:paraId="405F0712" w14:textId="77777777" w:rsidR="00706AF2" w:rsidRPr="00706AF2" w:rsidRDefault="00706AF2" w:rsidP="00691BCD">
            <w:pPr>
              <w:numPr>
                <w:ilvl w:val="0"/>
                <w:numId w:val="52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comunicação ao Compliance Officer e, quando aplicável, à CMC.</w:t>
            </w:r>
          </w:p>
          <w:p w14:paraId="189F0C11" w14:textId="05F5A7F4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89EA971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7. Confidencialidade e Barreiras de Informação</w:t>
            </w:r>
          </w:p>
          <w:p w14:paraId="69D70F8B" w14:textId="05000AF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 xml:space="preserve">A ILUNGI adopta barreiras formais de informação entre </w:t>
            </w:r>
            <w:r w:rsidR="006C2748">
              <w:rPr>
                <w:rFonts w:ascii="Arial" w:hAnsi="Arial" w:cs="Arial"/>
                <w:sz w:val="18"/>
                <w:szCs w:val="18"/>
              </w:rPr>
              <w:t xml:space="preserve">o </w:t>
            </w:r>
            <w:r w:rsidRPr="00706AF2">
              <w:rPr>
                <w:rFonts w:ascii="Arial" w:hAnsi="Arial" w:cs="Arial"/>
                <w:sz w:val="18"/>
                <w:szCs w:val="18"/>
              </w:rPr>
              <w:t>Serviço de Notação de Risco e as restantes áreas da empresa, assegurando que:</w:t>
            </w:r>
          </w:p>
          <w:p w14:paraId="7A7C29E0" w14:textId="77777777" w:rsidR="00706AF2" w:rsidRPr="00706AF2" w:rsidRDefault="00706AF2" w:rsidP="00691BCD">
            <w:pPr>
              <w:numPr>
                <w:ilvl w:val="0"/>
                <w:numId w:val="53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a informação obtida no âmbito da notação de risco não é utilizada para fins comerciais;</w:t>
            </w:r>
          </w:p>
          <w:p w14:paraId="085F632D" w14:textId="77777777" w:rsidR="00706AF2" w:rsidRPr="00706AF2" w:rsidRDefault="00706AF2" w:rsidP="00691BCD">
            <w:pPr>
              <w:numPr>
                <w:ilvl w:val="0"/>
                <w:numId w:val="53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a informação obtida noutras linhas de serviços não influencia processos de notação;</w:t>
            </w:r>
          </w:p>
          <w:p w14:paraId="4E6C5EEF" w14:textId="77777777" w:rsidR="00706AF2" w:rsidRPr="00706AF2" w:rsidRDefault="00706AF2" w:rsidP="00691BCD">
            <w:pPr>
              <w:numPr>
                <w:ilvl w:val="0"/>
                <w:numId w:val="53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o acesso a sistemas, ficheiros e bases de dados é restrito e controlado.</w:t>
            </w:r>
          </w:p>
          <w:p w14:paraId="2E82C966" w14:textId="2CA9B79C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A7507F9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8. Papel do Compliance Officer</w:t>
            </w:r>
          </w:p>
          <w:p w14:paraId="26BFC4F5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06AF2">
              <w:rPr>
                <w:rFonts w:ascii="Arial" w:hAnsi="Arial" w:cs="Arial"/>
                <w:sz w:val="18"/>
                <w:szCs w:val="18"/>
                <w:lang w:val="en-US"/>
              </w:rPr>
              <w:t>O Compliance Officer:</w:t>
            </w:r>
          </w:p>
          <w:p w14:paraId="25F3BB41" w14:textId="77777777" w:rsidR="00706AF2" w:rsidRPr="00706AF2" w:rsidRDefault="00706AF2" w:rsidP="00691BCD">
            <w:pPr>
              <w:numPr>
                <w:ilvl w:val="0"/>
                <w:numId w:val="54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supervisiona o cumprimento da presente política;</w:t>
            </w:r>
          </w:p>
          <w:p w14:paraId="126374B3" w14:textId="77777777" w:rsidR="00706AF2" w:rsidRPr="00706AF2" w:rsidRDefault="00706AF2" w:rsidP="00691BCD">
            <w:pPr>
              <w:numPr>
                <w:ilvl w:val="0"/>
                <w:numId w:val="54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avalia periodicamente a eficácia dos mecanismos de segregação;</w:t>
            </w:r>
          </w:p>
          <w:p w14:paraId="0C80A077" w14:textId="77777777" w:rsidR="00706AF2" w:rsidRPr="00706AF2" w:rsidRDefault="00706AF2" w:rsidP="00691BCD">
            <w:pPr>
              <w:numPr>
                <w:ilvl w:val="0"/>
                <w:numId w:val="54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emite recomendações e determinações correctivas;</w:t>
            </w:r>
          </w:p>
          <w:p w14:paraId="3D98B9DE" w14:textId="77777777" w:rsidR="00706AF2" w:rsidRPr="00706AF2" w:rsidRDefault="00706AF2" w:rsidP="00691BCD">
            <w:pPr>
              <w:numPr>
                <w:ilvl w:val="0"/>
                <w:numId w:val="54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reporta situações relevantes à Direcção Geral e, quando aplicável, à Comissão do Mercado de Capitais.</w:t>
            </w:r>
          </w:p>
          <w:p w14:paraId="271F3BD0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O Compliance Officer actua com autonomia funcional e independência face às áreas comerciais e operacionais.</w:t>
            </w:r>
          </w:p>
          <w:p w14:paraId="74465CF2" w14:textId="2BEC8B53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A68AD92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9. Formação e Sensibilização</w:t>
            </w:r>
          </w:p>
          <w:p w14:paraId="2CD7850B" w14:textId="77777777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A ILUNGI assegura que todos os colaboradores relevantes recebem formação periódica sobre:</w:t>
            </w:r>
          </w:p>
          <w:p w14:paraId="6317CA04" w14:textId="77777777" w:rsidR="00706AF2" w:rsidRPr="00706AF2" w:rsidRDefault="00706AF2" w:rsidP="00691BCD">
            <w:pPr>
              <w:numPr>
                <w:ilvl w:val="0"/>
                <w:numId w:val="55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independência da notação de risco;</w:t>
            </w:r>
          </w:p>
          <w:p w14:paraId="22ADDF2F" w14:textId="77777777" w:rsidR="00706AF2" w:rsidRPr="00706AF2" w:rsidRDefault="00706AF2" w:rsidP="00691BCD">
            <w:pPr>
              <w:numPr>
                <w:ilvl w:val="0"/>
                <w:numId w:val="55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gestão de conflitos de interesses;</w:t>
            </w:r>
          </w:p>
          <w:p w14:paraId="0357DEDA" w14:textId="77777777" w:rsidR="00706AF2" w:rsidRPr="00706AF2" w:rsidRDefault="00706AF2" w:rsidP="00691BCD">
            <w:pPr>
              <w:numPr>
                <w:ilvl w:val="0"/>
                <w:numId w:val="55"/>
              </w:num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06AF2">
              <w:rPr>
                <w:rFonts w:ascii="Arial" w:hAnsi="Arial" w:cs="Arial"/>
                <w:sz w:val="18"/>
                <w:szCs w:val="18"/>
                <w:lang w:val="en-US"/>
              </w:rPr>
              <w:t>deveres de confidencialidade;</w:t>
            </w:r>
          </w:p>
          <w:p w14:paraId="5D0CFD54" w14:textId="77777777" w:rsidR="00706AF2" w:rsidRPr="00706AF2" w:rsidRDefault="00706AF2" w:rsidP="00691BCD">
            <w:pPr>
              <w:numPr>
                <w:ilvl w:val="0"/>
                <w:numId w:val="55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obrigações legais e regulamentares aplicáveis.</w:t>
            </w:r>
          </w:p>
          <w:p w14:paraId="565F58D4" w14:textId="6BF833EA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2DFAAA3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10. Revisão e Actualização</w:t>
            </w:r>
          </w:p>
          <w:p w14:paraId="14B8DAF2" w14:textId="0E45EDEF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>A presente política é revista</w:t>
            </w:r>
            <w:r w:rsidR="00825F3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06AF2">
              <w:rPr>
                <w:rFonts w:ascii="Arial" w:hAnsi="Arial" w:cs="Arial"/>
                <w:sz w:val="18"/>
                <w:szCs w:val="18"/>
              </w:rPr>
              <w:t>periodicamente</w:t>
            </w:r>
            <w:r w:rsidR="00825F3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706AF2">
              <w:rPr>
                <w:rFonts w:ascii="Arial" w:hAnsi="Arial" w:cs="Arial"/>
                <w:sz w:val="18"/>
                <w:szCs w:val="18"/>
              </w:rPr>
              <w:t>sempre que ocorram alterações relevantes na legislação aplicável</w:t>
            </w:r>
            <w:r w:rsidR="00B27639">
              <w:rPr>
                <w:rFonts w:ascii="Arial" w:hAnsi="Arial" w:cs="Arial"/>
                <w:sz w:val="18"/>
                <w:szCs w:val="18"/>
              </w:rPr>
              <w:t xml:space="preserve"> ou </w:t>
            </w:r>
            <w:r w:rsidRPr="00706AF2">
              <w:rPr>
                <w:rFonts w:ascii="Arial" w:hAnsi="Arial" w:cs="Arial"/>
                <w:sz w:val="18"/>
                <w:szCs w:val="18"/>
              </w:rPr>
              <w:t>sempre que identificadas fragilidades no sistema de segregação</w:t>
            </w:r>
            <w:r w:rsidR="00B27639">
              <w:rPr>
                <w:rFonts w:ascii="Arial" w:hAnsi="Arial" w:cs="Arial"/>
                <w:sz w:val="18"/>
                <w:szCs w:val="18"/>
              </w:rPr>
              <w:t xml:space="preserve"> e q</w:t>
            </w:r>
            <w:r w:rsidRPr="00706AF2">
              <w:rPr>
                <w:rFonts w:ascii="Arial" w:hAnsi="Arial" w:cs="Arial"/>
                <w:sz w:val="18"/>
                <w:szCs w:val="18"/>
              </w:rPr>
              <w:t>ualquer alteração relevante será comunicada à Comissão do Mercado de Capitais, nos termos legais.</w:t>
            </w:r>
          </w:p>
          <w:p w14:paraId="12B42C9D" w14:textId="7B183D65" w:rsidR="00706AF2" w:rsidRP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5204D71" w14:textId="77777777" w:rsidR="00706AF2" w:rsidRPr="00706AF2" w:rsidRDefault="00706AF2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06AF2">
              <w:rPr>
                <w:rFonts w:ascii="Arial" w:hAnsi="Arial" w:cs="Arial"/>
                <w:b/>
                <w:bCs/>
                <w:sz w:val="18"/>
                <w:szCs w:val="18"/>
              </w:rPr>
              <w:t>11. Entrada em Vigor</w:t>
            </w:r>
          </w:p>
          <w:p w14:paraId="6347A9B0" w14:textId="046683B5" w:rsidR="00706AF2" w:rsidRDefault="00706AF2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AF2">
              <w:rPr>
                <w:rFonts w:ascii="Arial" w:hAnsi="Arial" w:cs="Arial"/>
                <w:sz w:val="18"/>
                <w:szCs w:val="18"/>
              </w:rPr>
              <w:t xml:space="preserve">A presente Política entra em vigor na data da sua aprovação interna e é de cumprimento obrigatório para todos os colaboradores </w:t>
            </w:r>
            <w:r w:rsidR="00B27639">
              <w:rPr>
                <w:rFonts w:ascii="Arial" w:hAnsi="Arial" w:cs="Arial"/>
                <w:sz w:val="18"/>
                <w:szCs w:val="18"/>
              </w:rPr>
              <w:t>da empresa</w:t>
            </w:r>
            <w:r w:rsidRPr="00706AF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1F66C66" w14:textId="77777777" w:rsidR="00B27639" w:rsidRDefault="00B27639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E0644B9" w14:textId="3DFE9AEE" w:rsidR="00B27639" w:rsidRPr="00796B2D" w:rsidRDefault="00B27639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96B2D">
              <w:rPr>
                <w:rFonts w:ascii="Arial" w:hAnsi="Arial" w:cs="Arial"/>
                <w:b/>
                <w:bCs/>
                <w:sz w:val="18"/>
                <w:szCs w:val="18"/>
              </w:rPr>
              <w:t>Pela Direcção</w:t>
            </w:r>
          </w:p>
          <w:p w14:paraId="39C6BB32" w14:textId="77777777" w:rsidR="00B27639" w:rsidRDefault="00B27639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5452011" w14:textId="2730AA7E" w:rsidR="00BD2994" w:rsidRDefault="00796B2D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Manuel do Rosário Isaac Cadete</w:t>
            </w:r>
          </w:p>
          <w:p w14:paraId="5AFB7603" w14:textId="77777777" w:rsidR="00796B2D" w:rsidRDefault="00796B2D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5F46A84" w14:textId="6299E960" w:rsidR="00BD2994" w:rsidRDefault="00796B2D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09.11.2026</w:t>
            </w:r>
          </w:p>
          <w:p w14:paraId="0C77E098" w14:textId="77777777" w:rsidR="00BD2994" w:rsidRDefault="00BD2994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723FF23" w14:textId="77777777" w:rsidR="00BD2994" w:rsidRDefault="00BD2994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E161BEB" w14:textId="77777777" w:rsidR="00BD2994" w:rsidRDefault="00BD2994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06D368E" w14:textId="77777777" w:rsidR="00BD2994" w:rsidRDefault="00BD2994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5A525B1" w14:textId="77777777" w:rsidR="00BD2994" w:rsidRDefault="00BD2994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F7CB5BE" w14:textId="77777777" w:rsidR="00BD2994" w:rsidRDefault="00BD2994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821200B" w14:textId="1618D5F1" w:rsidR="00BD2994" w:rsidRPr="00BD2994" w:rsidRDefault="00BD2994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2994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  <w:r w:rsidRPr="00BD2994">
              <w:rPr>
                <w:rFonts w:ascii="Arial" w:hAnsi="Arial" w:cs="Arial"/>
                <w:b/>
                <w:bCs/>
                <w:sz w:val="18"/>
                <w:szCs w:val="18"/>
              </w:rPr>
              <w:t>. Histórico</w:t>
            </w:r>
          </w:p>
          <w:p w14:paraId="79D70B4D" w14:textId="77777777" w:rsidR="00BD2994" w:rsidRPr="00BD2994" w:rsidRDefault="00BD2994" w:rsidP="00691BCD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tbl>
            <w:tblPr>
              <w:tblW w:w="8790" w:type="dxa"/>
              <w:tblInd w:w="1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top w:w="85" w:type="dxa"/>
                <w:left w:w="85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282"/>
              <w:gridCol w:w="2693"/>
              <w:gridCol w:w="3815"/>
            </w:tblGrid>
            <w:tr w:rsidR="00BD2994" w:rsidRPr="00BD2994" w14:paraId="05F4333A" w14:textId="77777777" w:rsidTr="00796B2D">
              <w:trPr>
                <w:trHeight w:val="230"/>
              </w:trPr>
              <w:tc>
                <w:tcPr>
                  <w:tcW w:w="129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9D989D9" w14:textId="77777777" w:rsidR="00BD2994" w:rsidRPr="00BD2994" w:rsidRDefault="00BD2994" w:rsidP="00691BCD">
                  <w:pPr>
                    <w:spacing w:after="0" w:line="240" w:lineRule="auto"/>
                    <w:jc w:val="both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BD2994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TÍTULO</w:t>
                  </w:r>
                </w:p>
              </w:tc>
              <w:tc>
                <w:tcPr>
                  <w:tcW w:w="3702" w:type="pct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98A33DB" w14:textId="3E6CBAD2" w:rsidR="00BD2994" w:rsidRPr="00BD2994" w:rsidRDefault="00BD2994" w:rsidP="00691BCD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D2994">
                    <w:rPr>
                      <w:rFonts w:ascii="Arial" w:hAnsi="Arial" w:cs="Arial"/>
                      <w:sz w:val="18"/>
                      <w:szCs w:val="18"/>
                    </w:rPr>
                    <w:t>POLÍTICA DE SEGREGAÇÃO DE ACTIVIDADES E INDEPENDÊNCIA DA NOTAÇÃO DE RISCO</w:t>
                  </w:r>
                </w:p>
              </w:tc>
            </w:tr>
            <w:tr w:rsidR="00BD2994" w:rsidRPr="00BD2994" w14:paraId="31AB59D3" w14:textId="77777777" w:rsidTr="00796B2D">
              <w:trPr>
                <w:trHeight w:val="230"/>
              </w:trPr>
              <w:tc>
                <w:tcPr>
                  <w:tcW w:w="129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45DE34F" w14:textId="77777777" w:rsidR="00BD2994" w:rsidRPr="00BD2994" w:rsidRDefault="00BD2994" w:rsidP="00691BCD">
                  <w:pPr>
                    <w:spacing w:after="0" w:line="240" w:lineRule="auto"/>
                    <w:jc w:val="both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BD2994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CÓDIGO</w:t>
                  </w:r>
                </w:p>
              </w:tc>
              <w:tc>
                <w:tcPr>
                  <w:tcW w:w="3702" w:type="pct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0E5F9C2" w14:textId="74CDA275" w:rsidR="00BD2994" w:rsidRPr="00BD2994" w:rsidRDefault="00BD2994" w:rsidP="00691BCD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ILUNGI</w:t>
                  </w:r>
                  <w:r w:rsidRPr="00BD2994">
                    <w:rPr>
                      <w:rFonts w:ascii="Arial" w:hAnsi="Arial" w:cs="Arial"/>
                      <w:sz w:val="18"/>
                      <w:szCs w:val="18"/>
                    </w:rPr>
                    <w:t>-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POL</w:t>
                  </w:r>
                  <w:r w:rsidRPr="00BD2994">
                    <w:rPr>
                      <w:rFonts w:ascii="Arial" w:hAnsi="Arial" w:cs="Arial"/>
                      <w:sz w:val="18"/>
                      <w:szCs w:val="18"/>
                    </w:rPr>
                    <w:t>-C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MC</w:t>
                  </w:r>
                  <w:r w:rsidRPr="00BD2994">
                    <w:rPr>
                      <w:rFonts w:ascii="Arial" w:hAnsi="Arial" w:cs="Arial"/>
                      <w:sz w:val="18"/>
                      <w:szCs w:val="18"/>
                    </w:rPr>
                    <w:t>-001</w:t>
                  </w:r>
                </w:p>
              </w:tc>
            </w:tr>
            <w:tr w:rsidR="00BD2994" w:rsidRPr="00BD2994" w14:paraId="753237ED" w14:textId="77777777" w:rsidTr="00796B2D">
              <w:trPr>
                <w:trHeight w:val="229"/>
              </w:trPr>
              <w:tc>
                <w:tcPr>
                  <w:tcW w:w="129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5A1BF08" w14:textId="77777777" w:rsidR="00BD2994" w:rsidRPr="00BD2994" w:rsidRDefault="00BD2994" w:rsidP="00691BCD">
                  <w:pPr>
                    <w:spacing w:after="0" w:line="240" w:lineRule="auto"/>
                    <w:jc w:val="both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BD2994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REVISÃO</w:t>
                  </w:r>
                </w:p>
              </w:tc>
              <w:tc>
                <w:tcPr>
                  <w:tcW w:w="1532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92A6567" w14:textId="77777777" w:rsidR="00BD2994" w:rsidRPr="00BD2994" w:rsidRDefault="00BD2994" w:rsidP="00691BCD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D2994">
                    <w:rPr>
                      <w:rFonts w:ascii="Arial" w:hAnsi="Arial" w:cs="Arial"/>
                      <w:sz w:val="18"/>
                      <w:szCs w:val="18"/>
                    </w:rPr>
                    <w:t>DATA DE APROVAÇÃO</w:t>
                  </w:r>
                </w:p>
              </w:tc>
              <w:tc>
                <w:tcPr>
                  <w:tcW w:w="217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A8115E7" w14:textId="77777777" w:rsidR="00BD2994" w:rsidRPr="00BD2994" w:rsidRDefault="00BD2994" w:rsidP="00691BCD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D2994">
                    <w:rPr>
                      <w:rFonts w:ascii="Arial" w:hAnsi="Arial" w:cs="Arial"/>
                      <w:sz w:val="18"/>
                      <w:szCs w:val="18"/>
                    </w:rPr>
                    <w:t>ALTERAÇÕES</w:t>
                  </w:r>
                </w:p>
              </w:tc>
            </w:tr>
            <w:tr w:rsidR="00BD2994" w:rsidRPr="00BD2994" w14:paraId="415B605D" w14:textId="77777777" w:rsidTr="00796B2D">
              <w:trPr>
                <w:trHeight w:val="230"/>
              </w:trPr>
              <w:tc>
                <w:tcPr>
                  <w:tcW w:w="1298" w:type="pct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2" w:space="0" w:color="000000"/>
                  </w:tcBorders>
                  <w:vAlign w:val="center"/>
                  <w:hideMark/>
                </w:tcPr>
                <w:p w14:paraId="2298665A" w14:textId="77777777" w:rsidR="00BD2994" w:rsidRPr="00BD2994" w:rsidRDefault="00BD2994" w:rsidP="00691BCD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D2994">
                    <w:rPr>
                      <w:rFonts w:ascii="Arial" w:hAnsi="Arial" w:cs="Arial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1532" w:type="pct"/>
                  <w:tcBorders>
                    <w:top w:val="single" w:sz="4" w:space="0" w:color="000000"/>
                    <w:left w:val="single" w:sz="2" w:space="0" w:color="000000"/>
                    <w:bottom w:val="nil"/>
                    <w:right w:val="single" w:sz="2" w:space="0" w:color="000000"/>
                  </w:tcBorders>
                  <w:vAlign w:val="center"/>
                  <w:hideMark/>
                </w:tcPr>
                <w:p w14:paraId="4B9B49DC" w14:textId="33BD465D" w:rsidR="00BD2994" w:rsidRPr="00BD2994" w:rsidRDefault="00BD2994" w:rsidP="00691BCD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D2994">
                    <w:rPr>
                      <w:rFonts w:ascii="Arial" w:hAnsi="Arial" w:cs="Arial"/>
                      <w:sz w:val="18"/>
                      <w:szCs w:val="18"/>
                    </w:rPr>
                    <w:t>0</w:t>
                  </w:r>
                  <w:r w:rsidR="00796B2D">
                    <w:rPr>
                      <w:rFonts w:ascii="Arial" w:hAnsi="Arial" w:cs="Arial"/>
                      <w:sz w:val="18"/>
                      <w:szCs w:val="18"/>
                    </w:rPr>
                    <w:t>8</w:t>
                  </w:r>
                  <w:r w:rsidRPr="00BD2994">
                    <w:rPr>
                      <w:rFonts w:ascii="Arial" w:hAnsi="Arial" w:cs="Arial"/>
                      <w:sz w:val="18"/>
                      <w:szCs w:val="18"/>
                    </w:rPr>
                    <w:t>.</w:t>
                  </w:r>
                  <w:r w:rsidR="00ED5877">
                    <w:rPr>
                      <w:rFonts w:ascii="Arial" w:hAnsi="Arial" w:cs="Arial"/>
                      <w:sz w:val="18"/>
                      <w:szCs w:val="18"/>
                    </w:rPr>
                    <w:t>01</w:t>
                  </w:r>
                  <w:r w:rsidRPr="00BD2994">
                    <w:rPr>
                      <w:rFonts w:ascii="Arial" w:hAnsi="Arial" w:cs="Arial"/>
                      <w:sz w:val="18"/>
                      <w:szCs w:val="18"/>
                    </w:rPr>
                    <w:t>.202</w:t>
                  </w:r>
                  <w:r w:rsidR="00ED5877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2170" w:type="pct"/>
                  <w:tcBorders>
                    <w:top w:val="single" w:sz="4" w:space="0" w:color="000000"/>
                    <w:left w:val="single" w:sz="2" w:space="0" w:color="000000"/>
                    <w:bottom w:val="nil"/>
                    <w:right w:val="single" w:sz="4" w:space="0" w:color="000000"/>
                  </w:tcBorders>
                  <w:vAlign w:val="center"/>
                  <w:hideMark/>
                </w:tcPr>
                <w:p w14:paraId="1F6D5B7C" w14:textId="77777777" w:rsidR="00BD2994" w:rsidRPr="00BD2994" w:rsidRDefault="00BD2994" w:rsidP="00691BCD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D2994">
                    <w:rPr>
                      <w:rFonts w:ascii="Arial" w:hAnsi="Arial" w:cs="Arial"/>
                      <w:sz w:val="18"/>
                      <w:szCs w:val="18"/>
                    </w:rPr>
                    <w:t>Versão original</w:t>
                  </w:r>
                </w:p>
              </w:tc>
            </w:tr>
            <w:tr w:rsidR="00BD2994" w:rsidRPr="00BD2994" w14:paraId="0E00F2A4" w14:textId="77777777" w:rsidTr="00796B2D">
              <w:trPr>
                <w:trHeight w:val="460"/>
              </w:trPr>
              <w:tc>
                <w:tcPr>
                  <w:tcW w:w="1298" w:type="pct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2" w:space="0" w:color="000000"/>
                  </w:tcBorders>
                  <w:vAlign w:val="center"/>
                  <w:hideMark/>
                </w:tcPr>
                <w:p w14:paraId="698CB217" w14:textId="4BCA985D" w:rsidR="00BD2994" w:rsidRPr="00BD2994" w:rsidRDefault="00BD2994" w:rsidP="00691BCD">
                  <w:pPr>
                    <w:spacing w:after="0" w:line="240" w:lineRule="auto"/>
                    <w:jc w:val="both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D299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Elaborado por: A</w:t>
                  </w:r>
                  <w:r w:rsidR="00ED587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ntonieta de Sousa Moisés</w:t>
                  </w:r>
                </w:p>
              </w:tc>
              <w:tc>
                <w:tcPr>
                  <w:tcW w:w="1532" w:type="pct"/>
                  <w:tcBorders>
                    <w:top w:val="nil"/>
                    <w:left w:val="single" w:sz="2" w:space="0" w:color="000000"/>
                    <w:bottom w:val="single" w:sz="4" w:space="0" w:color="000000"/>
                    <w:right w:val="single" w:sz="2" w:space="0" w:color="000000"/>
                  </w:tcBorders>
                  <w:vAlign w:val="center"/>
                  <w:hideMark/>
                </w:tcPr>
                <w:p w14:paraId="5599022F" w14:textId="155C74EA" w:rsidR="00BD2994" w:rsidRPr="00BD2994" w:rsidRDefault="00BD2994" w:rsidP="00691BCD">
                  <w:pPr>
                    <w:spacing w:after="0" w:line="240" w:lineRule="auto"/>
                    <w:jc w:val="both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D2994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Analisado por: </w:t>
                  </w:r>
                  <w:r w:rsidR="00ED587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Didier Vangadio &amp; Antonieta de Sousa Moisés</w:t>
                  </w:r>
                </w:p>
              </w:tc>
              <w:tc>
                <w:tcPr>
                  <w:tcW w:w="2170" w:type="pct"/>
                  <w:tcBorders>
                    <w:top w:val="nil"/>
                    <w:left w:val="single" w:sz="2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9F59924" w14:textId="674E9C36" w:rsidR="00BD2994" w:rsidRPr="00BD2994" w:rsidRDefault="00BD2994" w:rsidP="00691BCD">
                  <w:pPr>
                    <w:spacing w:after="0" w:line="240" w:lineRule="auto"/>
                    <w:jc w:val="both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D2994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Aprovado por: </w:t>
                  </w:r>
                  <w:r w:rsidR="00ED587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Manuel Cadete</w:t>
                  </w:r>
                </w:p>
              </w:tc>
            </w:tr>
          </w:tbl>
          <w:p w14:paraId="55693B05" w14:textId="77777777" w:rsidR="00BD2994" w:rsidRPr="00BD2994" w:rsidRDefault="00BD2994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738F971" w14:textId="77777777" w:rsidR="00BD2994" w:rsidRPr="00706AF2" w:rsidRDefault="00BD2994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834A217" w14:textId="77777777" w:rsidR="004751DD" w:rsidRPr="00706AF2" w:rsidRDefault="004751DD" w:rsidP="00691BC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50C2B2A" w14:textId="5A010CAC" w:rsidR="00CB0DFC" w:rsidRPr="004751DD" w:rsidRDefault="00CB0DFC" w:rsidP="00691BCD">
      <w:pPr>
        <w:jc w:val="both"/>
        <w:rPr>
          <w:rFonts w:ascii="Arial" w:hAnsi="Arial" w:cs="Arial"/>
          <w:sz w:val="18"/>
          <w:szCs w:val="18"/>
        </w:rPr>
      </w:pPr>
    </w:p>
    <w:sectPr w:rsidR="00CB0DFC" w:rsidRPr="004751DD" w:rsidSect="00955068">
      <w:headerReference w:type="default" r:id="rId8"/>
      <w:footerReference w:type="default" r:id="rId9"/>
      <w:pgSz w:w="11906" w:h="16838"/>
      <w:pgMar w:top="1440" w:right="1440" w:bottom="1440" w:left="1440" w:header="680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B243A" w14:textId="77777777" w:rsidR="00F10A31" w:rsidRDefault="00F10A31" w:rsidP="00F60AA3">
      <w:pPr>
        <w:spacing w:after="0" w:line="240" w:lineRule="auto"/>
      </w:pPr>
      <w:r>
        <w:separator/>
      </w:r>
    </w:p>
  </w:endnote>
  <w:endnote w:type="continuationSeparator" w:id="0">
    <w:p w14:paraId="4A0DEC97" w14:textId="77777777" w:rsidR="00F10A31" w:rsidRDefault="00F10A31" w:rsidP="00F60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A1F92" w14:textId="5E62A92F" w:rsidR="0052384F" w:rsidRPr="00155083" w:rsidRDefault="00CF6F2E" w:rsidP="00B65010">
    <w:pPr>
      <w:pStyle w:val="Footer"/>
      <w:rPr>
        <w:rFonts w:ascii="Roboto" w:hAnsi="Roboto"/>
        <w:b/>
        <w:color w:val="FFFFFF" w:themeColor="background1"/>
        <w:sz w:val="14"/>
        <w:szCs w:val="14"/>
      </w:rPr>
    </w:pPr>
    <w:r w:rsidRPr="00155083">
      <w:rPr>
        <w:rFonts w:ascii="Roboto" w:hAnsi="Roboto"/>
        <w:b/>
        <w:noProof/>
        <w:color w:val="FFFFFF" w:themeColor="background1"/>
        <w:sz w:val="14"/>
        <w:szCs w:val="14"/>
        <w:lang w:eastAsia="pt-PT"/>
      </w:rPr>
      <w:drawing>
        <wp:anchor distT="0" distB="0" distL="114300" distR="114300" simplePos="0" relativeHeight="251662336" behindDoc="1" locked="0" layoutInCell="1" allowOverlap="1" wp14:anchorId="391F86C5" wp14:editId="0981FF53">
          <wp:simplePos x="0" y="0"/>
          <wp:positionH relativeFrom="page">
            <wp:posOffset>-13970</wp:posOffset>
          </wp:positionH>
          <wp:positionV relativeFrom="paragraph">
            <wp:posOffset>-593090</wp:posOffset>
          </wp:positionV>
          <wp:extent cx="7545719" cy="1440815"/>
          <wp:effectExtent l="0" t="0" r="0" b="6985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rodapé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501"/>
                  <a:stretch/>
                </pic:blipFill>
                <pic:spPr bwMode="auto">
                  <a:xfrm>
                    <a:off x="0" y="0"/>
                    <a:ext cx="7545719" cy="14408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057C">
      <w:rPr>
        <w:rFonts w:ascii="Roboto" w:hAnsi="Roboto"/>
        <w:b/>
        <w:color w:val="FFFFFF" w:themeColor="background1"/>
        <w:sz w:val="14"/>
        <w:szCs w:val="14"/>
      </w:rPr>
      <w:t>Projecto Nova Vida</w:t>
    </w:r>
    <w:r w:rsidR="004D5130">
      <w:rPr>
        <w:rFonts w:ascii="Roboto" w:hAnsi="Roboto"/>
        <w:b/>
        <w:color w:val="FFFFFF" w:themeColor="background1"/>
        <w:sz w:val="14"/>
        <w:szCs w:val="14"/>
      </w:rPr>
      <w:t>, Rua 46, Edifício E209, Apt 24</w:t>
    </w:r>
    <w:r w:rsidR="00B65010" w:rsidRPr="00155083">
      <w:rPr>
        <w:rFonts w:ascii="Roboto" w:hAnsi="Roboto"/>
        <w:b/>
        <w:color w:val="FFFFFF" w:themeColor="background1"/>
        <w:sz w:val="14"/>
        <w:szCs w:val="14"/>
      </w:rPr>
      <w:t xml:space="preserve"> </w:t>
    </w:r>
    <w:r w:rsidR="00B65010" w:rsidRPr="00155083">
      <w:rPr>
        <w:rFonts w:ascii="Roboto" w:hAnsi="Roboto"/>
        <w:b/>
        <w:color w:val="FFFFFF" w:themeColor="background1"/>
        <w:sz w:val="14"/>
        <w:szCs w:val="14"/>
      </w:rPr>
      <w:tab/>
    </w:r>
    <w:r w:rsidR="00B65010" w:rsidRPr="00155083">
      <w:rPr>
        <w:rFonts w:ascii="Roboto" w:hAnsi="Roboto"/>
        <w:b/>
        <w:color w:val="FFFFFF" w:themeColor="background1"/>
        <w:sz w:val="14"/>
        <w:szCs w:val="14"/>
      </w:rPr>
      <w:tab/>
      <w:t>Fale Connosco:</w:t>
    </w:r>
    <w:r w:rsidR="0052384F" w:rsidRPr="00155083">
      <w:rPr>
        <w:rFonts w:ascii="Roboto" w:hAnsi="Roboto"/>
        <w:b/>
        <w:color w:val="FFFFFF" w:themeColor="background1"/>
        <w:sz w:val="14"/>
        <w:szCs w:val="14"/>
      </w:rPr>
      <w:t xml:space="preserve"> </w:t>
    </w:r>
  </w:p>
  <w:p w14:paraId="443A00A7" w14:textId="51752E4E" w:rsidR="00B65010" w:rsidRPr="004D5130" w:rsidRDefault="004D5130" w:rsidP="0052384F">
    <w:pPr>
      <w:pStyle w:val="Footer"/>
      <w:rPr>
        <w:rFonts w:ascii="Roboto" w:hAnsi="Roboto"/>
        <w:b/>
        <w:color w:val="FFFFFF" w:themeColor="background1"/>
        <w:sz w:val="14"/>
        <w:szCs w:val="14"/>
        <w:lang w:val="it-IT"/>
      </w:rPr>
    </w:pPr>
    <w:r>
      <w:rPr>
        <w:rFonts w:ascii="Roboto" w:hAnsi="Roboto"/>
        <w:b/>
        <w:color w:val="FFFFFF" w:themeColor="background1"/>
        <w:sz w:val="14"/>
        <w:szCs w:val="14"/>
      </w:rPr>
      <w:t>Luanda</w:t>
    </w:r>
    <w:r w:rsidR="00155083" w:rsidRPr="00155083">
      <w:rPr>
        <w:rFonts w:ascii="Roboto" w:hAnsi="Roboto"/>
        <w:b/>
        <w:color w:val="FFFFFF" w:themeColor="background1"/>
        <w:sz w:val="14"/>
        <w:szCs w:val="14"/>
      </w:rPr>
      <w:tab/>
    </w:r>
    <w:r w:rsidR="00155083" w:rsidRPr="00155083">
      <w:rPr>
        <w:rFonts w:ascii="Roboto" w:hAnsi="Roboto"/>
        <w:b/>
        <w:color w:val="FFFFFF" w:themeColor="background1"/>
        <w:sz w:val="14"/>
        <w:szCs w:val="14"/>
      </w:rPr>
      <w:tab/>
    </w:r>
    <w:r w:rsidR="00155083" w:rsidRPr="004D5130">
      <w:rPr>
        <w:rFonts w:ascii="Roboto" w:hAnsi="Roboto"/>
        <w:b/>
        <w:color w:val="FFFFFF" w:themeColor="background1"/>
        <w:sz w:val="14"/>
        <w:szCs w:val="14"/>
        <w:lang w:val="it-IT"/>
      </w:rPr>
      <w:t>+244 9</w:t>
    </w:r>
    <w:r w:rsidR="00B65010" w:rsidRPr="004D5130">
      <w:rPr>
        <w:rFonts w:ascii="Roboto" w:hAnsi="Roboto"/>
        <w:b/>
        <w:color w:val="FFFFFF" w:themeColor="background1"/>
        <w:sz w:val="14"/>
        <w:szCs w:val="14"/>
        <w:lang w:val="it-IT"/>
      </w:rPr>
      <w:t>35 793 270</w:t>
    </w:r>
  </w:p>
  <w:p w14:paraId="0037CDA1" w14:textId="3A4E9A62" w:rsidR="0052384F" w:rsidRPr="004D5130" w:rsidRDefault="0052384F" w:rsidP="0052384F">
    <w:pPr>
      <w:pStyle w:val="Footer"/>
      <w:rPr>
        <w:b/>
        <w:color w:val="FFFFFF" w:themeColor="background1"/>
        <w:sz w:val="14"/>
        <w:szCs w:val="14"/>
        <w:lang w:val="it-IT"/>
      </w:rPr>
    </w:pPr>
    <w:r w:rsidRPr="004D5130">
      <w:rPr>
        <w:rFonts w:ascii="Roboto" w:hAnsi="Roboto"/>
        <w:b/>
        <w:color w:val="FFFFFF" w:themeColor="background1"/>
        <w:sz w:val="14"/>
        <w:szCs w:val="14"/>
        <w:lang w:val="it-IT"/>
      </w:rPr>
      <w:t>Angola</w:t>
    </w:r>
    <w:r w:rsidR="00B65010" w:rsidRPr="004D5130">
      <w:rPr>
        <w:b/>
        <w:color w:val="FFFFFF" w:themeColor="background1"/>
        <w:sz w:val="14"/>
        <w:szCs w:val="14"/>
        <w:lang w:val="it-IT"/>
      </w:rPr>
      <w:t xml:space="preserve"> </w:t>
    </w:r>
    <w:r w:rsidR="00B65010" w:rsidRPr="004D5130">
      <w:rPr>
        <w:b/>
        <w:color w:val="FFFFFF" w:themeColor="background1"/>
        <w:sz w:val="14"/>
        <w:szCs w:val="14"/>
        <w:lang w:val="it-IT"/>
      </w:rPr>
      <w:tab/>
    </w:r>
    <w:r w:rsidR="00B65010" w:rsidRPr="004D5130">
      <w:rPr>
        <w:b/>
        <w:color w:val="FFFFFF" w:themeColor="background1"/>
        <w:sz w:val="14"/>
        <w:szCs w:val="14"/>
        <w:lang w:val="it-IT"/>
      </w:rPr>
      <w:tab/>
    </w:r>
    <w:r w:rsidR="00B65010" w:rsidRPr="004D5130">
      <w:rPr>
        <w:rFonts w:ascii="Roboto" w:hAnsi="Roboto"/>
        <w:b/>
        <w:color w:val="FFFFFF" w:themeColor="background1"/>
        <w:sz w:val="14"/>
        <w:szCs w:val="14"/>
        <w:lang w:val="it-IT"/>
      </w:rPr>
      <w:t>geral@ilungi.ao | ilungi.ao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378FD" w14:textId="77777777" w:rsidR="00F10A31" w:rsidRDefault="00F10A31" w:rsidP="00F60AA3">
      <w:pPr>
        <w:spacing w:after="0" w:line="240" w:lineRule="auto"/>
      </w:pPr>
      <w:r>
        <w:separator/>
      </w:r>
    </w:p>
  </w:footnote>
  <w:footnote w:type="continuationSeparator" w:id="0">
    <w:p w14:paraId="77B17ACC" w14:textId="77777777" w:rsidR="00F10A31" w:rsidRDefault="00F10A31" w:rsidP="00F60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88D0" w14:textId="6BEC73F7" w:rsidR="00B40437" w:rsidRDefault="00A17EDF" w:rsidP="00A17EDF">
    <w:pPr>
      <w:pStyle w:val="Header"/>
      <w:tabs>
        <w:tab w:val="clear" w:pos="4513"/>
        <w:tab w:val="clear" w:pos="9026"/>
        <w:tab w:val="right" w:pos="8029"/>
      </w:tabs>
      <w:ind w:left="-567"/>
    </w:pPr>
    <w:r>
      <w:rPr>
        <w:noProof/>
        <w:color w:val="000000" w:themeColor="text1"/>
        <w:sz w:val="18"/>
        <w:szCs w:val="18"/>
        <w:lang w:eastAsia="pt-PT"/>
      </w:rPr>
      <w:drawing>
        <wp:anchor distT="0" distB="0" distL="114300" distR="114300" simplePos="0" relativeHeight="251657215" behindDoc="1" locked="0" layoutInCell="1" allowOverlap="1" wp14:anchorId="4BA1DBAA" wp14:editId="1B74E213">
          <wp:simplePos x="0" y="0"/>
          <wp:positionH relativeFrom="page">
            <wp:posOffset>4829175</wp:posOffset>
          </wp:positionH>
          <wp:positionV relativeFrom="paragraph">
            <wp:posOffset>-565150</wp:posOffset>
          </wp:positionV>
          <wp:extent cx="2950845" cy="933450"/>
          <wp:effectExtent l="0" t="0" r="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rodapé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870" b="91250"/>
                  <a:stretch/>
                </pic:blipFill>
                <pic:spPr bwMode="auto">
                  <a:xfrm>
                    <a:off x="0" y="0"/>
                    <a:ext cx="2950845" cy="933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E0FCB">
      <w:rPr>
        <w:noProof/>
        <w:lang w:eastAsia="pt-PT"/>
      </w:rPr>
      <w:drawing>
        <wp:inline distT="0" distB="0" distL="0" distR="0" wp14:anchorId="6E11BA28" wp14:editId="1DD76939">
          <wp:extent cx="1171575" cy="514350"/>
          <wp:effectExtent l="0" t="0" r="9525" b="0"/>
          <wp:docPr id="177605624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46" t="32246" r="17346" b="38148"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pt-PT"/>
      </w:rPr>
      <w:tab/>
    </w:r>
  </w:p>
  <w:p w14:paraId="27AB6D1B" w14:textId="77777777" w:rsidR="00F60AA3" w:rsidRDefault="0097215A" w:rsidP="0097215A">
    <w:pPr>
      <w:pStyle w:val="Header"/>
      <w:tabs>
        <w:tab w:val="clear" w:pos="4513"/>
        <w:tab w:val="clear" w:pos="9026"/>
        <w:tab w:val="left" w:pos="7286"/>
      </w:tabs>
    </w:pPr>
    <w:r>
      <w:tab/>
    </w:r>
  </w:p>
  <w:p w14:paraId="76855A9B" w14:textId="77777777" w:rsidR="00F60AA3" w:rsidRDefault="00F60A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8C3"/>
    <w:multiLevelType w:val="multilevel"/>
    <w:tmpl w:val="BFDA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148C"/>
    <w:multiLevelType w:val="multilevel"/>
    <w:tmpl w:val="0AC4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E3CC4"/>
    <w:multiLevelType w:val="multilevel"/>
    <w:tmpl w:val="CD5A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95BA5"/>
    <w:multiLevelType w:val="multilevel"/>
    <w:tmpl w:val="43EE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70F42"/>
    <w:multiLevelType w:val="multilevel"/>
    <w:tmpl w:val="F506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D1601"/>
    <w:multiLevelType w:val="multilevel"/>
    <w:tmpl w:val="D6A2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761B2"/>
    <w:multiLevelType w:val="multilevel"/>
    <w:tmpl w:val="5F0C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F796F"/>
    <w:multiLevelType w:val="multilevel"/>
    <w:tmpl w:val="E6B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14ADC"/>
    <w:multiLevelType w:val="multilevel"/>
    <w:tmpl w:val="4AB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252E8"/>
    <w:multiLevelType w:val="multilevel"/>
    <w:tmpl w:val="B66C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A5E20"/>
    <w:multiLevelType w:val="multilevel"/>
    <w:tmpl w:val="615C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74C1D"/>
    <w:multiLevelType w:val="multilevel"/>
    <w:tmpl w:val="79DE9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4D5F71"/>
    <w:multiLevelType w:val="multilevel"/>
    <w:tmpl w:val="747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0236A"/>
    <w:multiLevelType w:val="multilevel"/>
    <w:tmpl w:val="A716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870B4C"/>
    <w:multiLevelType w:val="multilevel"/>
    <w:tmpl w:val="030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416D3"/>
    <w:multiLevelType w:val="multilevel"/>
    <w:tmpl w:val="94D6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3762BB"/>
    <w:multiLevelType w:val="multilevel"/>
    <w:tmpl w:val="FB6A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20ECC"/>
    <w:multiLevelType w:val="multilevel"/>
    <w:tmpl w:val="C74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C5769"/>
    <w:multiLevelType w:val="multilevel"/>
    <w:tmpl w:val="438E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D5D9B"/>
    <w:multiLevelType w:val="multilevel"/>
    <w:tmpl w:val="8D6C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3F5380"/>
    <w:multiLevelType w:val="multilevel"/>
    <w:tmpl w:val="402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83A11"/>
    <w:multiLevelType w:val="multilevel"/>
    <w:tmpl w:val="DF32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571A9"/>
    <w:multiLevelType w:val="multilevel"/>
    <w:tmpl w:val="56F8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C34B2"/>
    <w:multiLevelType w:val="multilevel"/>
    <w:tmpl w:val="9CFE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07414"/>
    <w:multiLevelType w:val="multilevel"/>
    <w:tmpl w:val="C54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F32F2F"/>
    <w:multiLevelType w:val="multilevel"/>
    <w:tmpl w:val="AC34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962545"/>
    <w:multiLevelType w:val="multilevel"/>
    <w:tmpl w:val="E414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C4F3E"/>
    <w:multiLevelType w:val="multilevel"/>
    <w:tmpl w:val="A2CCD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145CFA"/>
    <w:multiLevelType w:val="multilevel"/>
    <w:tmpl w:val="7064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91BC0"/>
    <w:multiLevelType w:val="multilevel"/>
    <w:tmpl w:val="7D98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C326B7"/>
    <w:multiLevelType w:val="multilevel"/>
    <w:tmpl w:val="DE02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E57AE2"/>
    <w:multiLevelType w:val="multilevel"/>
    <w:tmpl w:val="16F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91448B"/>
    <w:multiLevelType w:val="multilevel"/>
    <w:tmpl w:val="804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508AC"/>
    <w:multiLevelType w:val="multilevel"/>
    <w:tmpl w:val="D75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26650A"/>
    <w:multiLevelType w:val="multilevel"/>
    <w:tmpl w:val="012C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6F36AE"/>
    <w:multiLevelType w:val="multilevel"/>
    <w:tmpl w:val="E094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CE6A99"/>
    <w:multiLevelType w:val="multilevel"/>
    <w:tmpl w:val="62BC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4C5787"/>
    <w:multiLevelType w:val="multilevel"/>
    <w:tmpl w:val="28AA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0094B"/>
    <w:multiLevelType w:val="multilevel"/>
    <w:tmpl w:val="5CD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B169CB"/>
    <w:multiLevelType w:val="multilevel"/>
    <w:tmpl w:val="DB9A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6E679E"/>
    <w:multiLevelType w:val="multilevel"/>
    <w:tmpl w:val="E93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113A99"/>
    <w:multiLevelType w:val="multilevel"/>
    <w:tmpl w:val="96C2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D93CE5"/>
    <w:multiLevelType w:val="multilevel"/>
    <w:tmpl w:val="DD1A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2F1D2B"/>
    <w:multiLevelType w:val="multilevel"/>
    <w:tmpl w:val="6BF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4E4518"/>
    <w:multiLevelType w:val="multilevel"/>
    <w:tmpl w:val="D69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5D5501"/>
    <w:multiLevelType w:val="multilevel"/>
    <w:tmpl w:val="BD7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D4E71"/>
    <w:multiLevelType w:val="multilevel"/>
    <w:tmpl w:val="32F4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C33ABD"/>
    <w:multiLevelType w:val="multilevel"/>
    <w:tmpl w:val="2F0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CB7FB8"/>
    <w:multiLevelType w:val="multilevel"/>
    <w:tmpl w:val="F040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7711B7"/>
    <w:multiLevelType w:val="multilevel"/>
    <w:tmpl w:val="BF9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C370A3"/>
    <w:multiLevelType w:val="multilevel"/>
    <w:tmpl w:val="C5D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3E3540"/>
    <w:multiLevelType w:val="multilevel"/>
    <w:tmpl w:val="4AC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1012B1"/>
    <w:multiLevelType w:val="multilevel"/>
    <w:tmpl w:val="8718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297F36"/>
    <w:multiLevelType w:val="multilevel"/>
    <w:tmpl w:val="1CA6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3E2258"/>
    <w:multiLevelType w:val="multilevel"/>
    <w:tmpl w:val="8E94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3B20CA"/>
    <w:multiLevelType w:val="multilevel"/>
    <w:tmpl w:val="2DB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661899">
    <w:abstractNumId w:val="50"/>
  </w:num>
  <w:num w:numId="2" w16cid:durableId="897594047">
    <w:abstractNumId w:val="1"/>
  </w:num>
  <w:num w:numId="3" w16cid:durableId="356276956">
    <w:abstractNumId w:val="54"/>
  </w:num>
  <w:num w:numId="4" w16cid:durableId="836922022">
    <w:abstractNumId w:val="32"/>
  </w:num>
  <w:num w:numId="5" w16cid:durableId="1805732653">
    <w:abstractNumId w:val="40"/>
  </w:num>
  <w:num w:numId="6" w16cid:durableId="935208679">
    <w:abstractNumId w:val="12"/>
  </w:num>
  <w:num w:numId="7" w16cid:durableId="1116755224">
    <w:abstractNumId w:val="24"/>
  </w:num>
  <w:num w:numId="8" w16cid:durableId="338311435">
    <w:abstractNumId w:val="49"/>
  </w:num>
  <w:num w:numId="9" w16cid:durableId="1053234100">
    <w:abstractNumId w:val="53"/>
  </w:num>
  <w:num w:numId="10" w16cid:durableId="1079522066">
    <w:abstractNumId w:val="27"/>
  </w:num>
  <w:num w:numId="11" w16cid:durableId="1490168684">
    <w:abstractNumId w:val="20"/>
  </w:num>
  <w:num w:numId="12" w16cid:durableId="1190410430">
    <w:abstractNumId w:val="46"/>
  </w:num>
  <w:num w:numId="13" w16cid:durableId="262342302">
    <w:abstractNumId w:val="19"/>
  </w:num>
  <w:num w:numId="14" w16cid:durableId="1235551050">
    <w:abstractNumId w:val="33"/>
  </w:num>
  <w:num w:numId="15" w16cid:durableId="1613173176">
    <w:abstractNumId w:val="7"/>
  </w:num>
  <w:num w:numId="16" w16cid:durableId="112557307">
    <w:abstractNumId w:val="15"/>
  </w:num>
  <w:num w:numId="17" w16cid:durableId="378015494">
    <w:abstractNumId w:val="11"/>
  </w:num>
  <w:num w:numId="18" w16cid:durableId="309528687">
    <w:abstractNumId w:val="48"/>
  </w:num>
  <w:num w:numId="19" w16cid:durableId="723875098">
    <w:abstractNumId w:val="36"/>
  </w:num>
  <w:num w:numId="20" w16cid:durableId="1467040175">
    <w:abstractNumId w:val="13"/>
  </w:num>
  <w:num w:numId="21" w16cid:durableId="887450797">
    <w:abstractNumId w:val="25"/>
  </w:num>
  <w:num w:numId="22" w16cid:durableId="13383667">
    <w:abstractNumId w:val="51"/>
  </w:num>
  <w:num w:numId="23" w16cid:durableId="1615940351">
    <w:abstractNumId w:val="9"/>
  </w:num>
  <w:num w:numId="24" w16cid:durableId="370152977">
    <w:abstractNumId w:val="34"/>
  </w:num>
  <w:num w:numId="25" w16cid:durableId="546532072">
    <w:abstractNumId w:val="28"/>
  </w:num>
  <w:num w:numId="26" w16cid:durableId="1394081865">
    <w:abstractNumId w:val="16"/>
  </w:num>
  <w:num w:numId="27" w16cid:durableId="534346790">
    <w:abstractNumId w:val="4"/>
  </w:num>
  <w:num w:numId="28" w16cid:durableId="1449395055">
    <w:abstractNumId w:val="3"/>
  </w:num>
  <w:num w:numId="29" w16cid:durableId="568077867">
    <w:abstractNumId w:val="45"/>
  </w:num>
  <w:num w:numId="30" w16cid:durableId="1100832764">
    <w:abstractNumId w:val="41"/>
  </w:num>
  <w:num w:numId="31" w16cid:durableId="420223244">
    <w:abstractNumId w:val="8"/>
  </w:num>
  <w:num w:numId="32" w16cid:durableId="2037266081">
    <w:abstractNumId w:val="5"/>
  </w:num>
  <w:num w:numId="33" w16cid:durableId="894581674">
    <w:abstractNumId w:val="30"/>
  </w:num>
  <w:num w:numId="34" w16cid:durableId="261106525">
    <w:abstractNumId w:val="14"/>
  </w:num>
  <w:num w:numId="35" w16cid:durableId="205679054">
    <w:abstractNumId w:val="23"/>
  </w:num>
  <w:num w:numId="36" w16cid:durableId="184175214">
    <w:abstractNumId w:val="26"/>
  </w:num>
  <w:num w:numId="37" w16cid:durableId="438843549">
    <w:abstractNumId w:val="21"/>
  </w:num>
  <w:num w:numId="38" w16cid:durableId="747969736">
    <w:abstractNumId w:val="10"/>
  </w:num>
  <w:num w:numId="39" w16cid:durableId="17123511">
    <w:abstractNumId w:val="37"/>
  </w:num>
  <w:num w:numId="40" w16cid:durableId="2092656027">
    <w:abstractNumId w:val="31"/>
  </w:num>
  <w:num w:numId="41" w16cid:durableId="942306628">
    <w:abstractNumId w:val="29"/>
  </w:num>
  <w:num w:numId="42" w16cid:durableId="959649755">
    <w:abstractNumId w:val="52"/>
  </w:num>
  <w:num w:numId="43" w16cid:durableId="771558988">
    <w:abstractNumId w:val="44"/>
  </w:num>
  <w:num w:numId="44" w16cid:durableId="137917110">
    <w:abstractNumId w:val="17"/>
  </w:num>
  <w:num w:numId="45" w16cid:durableId="616759459">
    <w:abstractNumId w:val="38"/>
  </w:num>
  <w:num w:numId="46" w16cid:durableId="955647625">
    <w:abstractNumId w:val="18"/>
  </w:num>
  <w:num w:numId="47" w16cid:durableId="1340546819">
    <w:abstractNumId w:val="35"/>
  </w:num>
  <w:num w:numId="48" w16cid:durableId="1948586174">
    <w:abstractNumId w:val="0"/>
  </w:num>
  <w:num w:numId="49" w16cid:durableId="775754642">
    <w:abstractNumId w:val="55"/>
  </w:num>
  <w:num w:numId="50" w16cid:durableId="628753025">
    <w:abstractNumId w:val="47"/>
  </w:num>
  <w:num w:numId="51" w16cid:durableId="775095509">
    <w:abstractNumId w:val="22"/>
  </w:num>
  <w:num w:numId="52" w16cid:durableId="907425904">
    <w:abstractNumId w:val="2"/>
  </w:num>
  <w:num w:numId="53" w16cid:durableId="1615211017">
    <w:abstractNumId w:val="39"/>
  </w:num>
  <w:num w:numId="54" w16cid:durableId="254828232">
    <w:abstractNumId w:val="42"/>
  </w:num>
  <w:num w:numId="55" w16cid:durableId="768041613">
    <w:abstractNumId w:val="43"/>
  </w:num>
  <w:num w:numId="56" w16cid:durableId="459566873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AA3"/>
    <w:rsid w:val="00061D83"/>
    <w:rsid w:val="000A7B42"/>
    <w:rsid w:val="000B4F02"/>
    <w:rsid w:val="000B66D8"/>
    <w:rsid w:val="00134701"/>
    <w:rsid w:val="00155083"/>
    <w:rsid w:val="00157FB1"/>
    <w:rsid w:val="001A247D"/>
    <w:rsid w:val="001D46AF"/>
    <w:rsid w:val="001E3D30"/>
    <w:rsid w:val="00215DDE"/>
    <w:rsid w:val="00257041"/>
    <w:rsid w:val="002667E4"/>
    <w:rsid w:val="002B5C3B"/>
    <w:rsid w:val="002C24AF"/>
    <w:rsid w:val="002D057C"/>
    <w:rsid w:val="002E65AD"/>
    <w:rsid w:val="00343585"/>
    <w:rsid w:val="003A254C"/>
    <w:rsid w:val="003C09AA"/>
    <w:rsid w:val="003D0965"/>
    <w:rsid w:val="003E6B23"/>
    <w:rsid w:val="00442E33"/>
    <w:rsid w:val="00456FBC"/>
    <w:rsid w:val="004751DD"/>
    <w:rsid w:val="004910CB"/>
    <w:rsid w:val="004D5130"/>
    <w:rsid w:val="004E0836"/>
    <w:rsid w:val="004E446E"/>
    <w:rsid w:val="004E5153"/>
    <w:rsid w:val="00520B95"/>
    <w:rsid w:val="0052384F"/>
    <w:rsid w:val="0056049B"/>
    <w:rsid w:val="00560711"/>
    <w:rsid w:val="005918A2"/>
    <w:rsid w:val="005C4424"/>
    <w:rsid w:val="005D2047"/>
    <w:rsid w:val="0060217E"/>
    <w:rsid w:val="00691BCD"/>
    <w:rsid w:val="00693E90"/>
    <w:rsid w:val="00695D1D"/>
    <w:rsid w:val="00697970"/>
    <w:rsid w:val="006C2748"/>
    <w:rsid w:val="00705FEC"/>
    <w:rsid w:val="00706AF2"/>
    <w:rsid w:val="00717033"/>
    <w:rsid w:val="00740AD7"/>
    <w:rsid w:val="00796B2D"/>
    <w:rsid w:val="007B02FF"/>
    <w:rsid w:val="007F2753"/>
    <w:rsid w:val="008049D3"/>
    <w:rsid w:val="008247AD"/>
    <w:rsid w:val="00825F34"/>
    <w:rsid w:val="008314E9"/>
    <w:rsid w:val="00861060"/>
    <w:rsid w:val="008D1BCC"/>
    <w:rsid w:val="00911416"/>
    <w:rsid w:val="009353D2"/>
    <w:rsid w:val="00955068"/>
    <w:rsid w:val="0097215A"/>
    <w:rsid w:val="00982EDE"/>
    <w:rsid w:val="009857F4"/>
    <w:rsid w:val="009A676B"/>
    <w:rsid w:val="00A17EDF"/>
    <w:rsid w:val="00A452C6"/>
    <w:rsid w:val="00A57E63"/>
    <w:rsid w:val="00A90F19"/>
    <w:rsid w:val="00B27639"/>
    <w:rsid w:val="00B40437"/>
    <w:rsid w:val="00B65010"/>
    <w:rsid w:val="00B71147"/>
    <w:rsid w:val="00BB3828"/>
    <w:rsid w:val="00BD2994"/>
    <w:rsid w:val="00C3522A"/>
    <w:rsid w:val="00CA09B8"/>
    <w:rsid w:val="00CB0DFC"/>
    <w:rsid w:val="00CB11A7"/>
    <w:rsid w:val="00CB2E7B"/>
    <w:rsid w:val="00CD5F47"/>
    <w:rsid w:val="00CF6F2E"/>
    <w:rsid w:val="00D21DD0"/>
    <w:rsid w:val="00D24378"/>
    <w:rsid w:val="00D54BB3"/>
    <w:rsid w:val="00DB027A"/>
    <w:rsid w:val="00DB6447"/>
    <w:rsid w:val="00E24D17"/>
    <w:rsid w:val="00E8447D"/>
    <w:rsid w:val="00E917B1"/>
    <w:rsid w:val="00E97832"/>
    <w:rsid w:val="00EC4D61"/>
    <w:rsid w:val="00ED48F9"/>
    <w:rsid w:val="00ED5877"/>
    <w:rsid w:val="00EE7178"/>
    <w:rsid w:val="00F10A31"/>
    <w:rsid w:val="00F13FF3"/>
    <w:rsid w:val="00F22776"/>
    <w:rsid w:val="00F43DB4"/>
    <w:rsid w:val="00F60AA3"/>
    <w:rsid w:val="00F83476"/>
    <w:rsid w:val="00F973B8"/>
    <w:rsid w:val="00FE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91815"/>
  <w15:chartTrackingRefBased/>
  <w15:docId w15:val="{831390FE-8A99-4052-AF29-32C4FDCE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11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Heading2">
    <w:name w:val="heading 2"/>
    <w:basedOn w:val="Normal"/>
    <w:link w:val="Heading2Char"/>
    <w:uiPriority w:val="9"/>
    <w:qFormat/>
    <w:rsid w:val="00CB11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Heading3">
    <w:name w:val="heading 3"/>
    <w:basedOn w:val="Normal"/>
    <w:link w:val="Heading3Char"/>
    <w:uiPriority w:val="9"/>
    <w:qFormat/>
    <w:rsid w:val="00CB1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0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AA3"/>
  </w:style>
  <w:style w:type="paragraph" w:styleId="Footer">
    <w:name w:val="footer"/>
    <w:basedOn w:val="Normal"/>
    <w:link w:val="FooterChar"/>
    <w:uiPriority w:val="99"/>
    <w:unhideWhenUsed/>
    <w:rsid w:val="00F60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AA3"/>
  </w:style>
  <w:style w:type="character" w:styleId="Hyperlink">
    <w:name w:val="Hyperlink"/>
    <w:basedOn w:val="DefaultParagraphFont"/>
    <w:uiPriority w:val="99"/>
    <w:unhideWhenUsed/>
    <w:rsid w:val="00F60AA3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E0FC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B11A7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rsid w:val="00CB11A7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rsid w:val="00CB11A7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styleId="Strong">
    <w:name w:val="Strong"/>
    <w:basedOn w:val="DefaultParagraphFont"/>
    <w:uiPriority w:val="22"/>
    <w:qFormat/>
    <w:rsid w:val="00CB11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table" w:styleId="TableGrid">
    <w:name w:val="Table Grid"/>
    <w:basedOn w:val="TableNormal"/>
    <w:uiPriority w:val="39"/>
    <w:rsid w:val="00475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2806">
          <w:marLeft w:val="-90"/>
          <w:marRight w:val="-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47727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051868">
          <w:marLeft w:val="-90"/>
          <w:marRight w:val="-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19327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820227">
          <w:marLeft w:val="-90"/>
          <w:marRight w:val="-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4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9806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9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4EF3E-5961-49B3-B7E5-4F97E4790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978</Words>
  <Characters>5576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Bairro Azul, Rua Américo Júlio de Carvalho, Casa n.º 26, adjacente à agência do BFA e ao novo edifício da Assembleia Nacional. 66 Luanda, Angola</vt:lpstr>
      <vt:lpstr>Bairro Azul, Rua Américo Júlio de Carvalho, Casa n.º 26, adjacente à agência do BFA e ao novo edifício da Assembleia Nacional. 66 Luanda, Angola</vt:lpstr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Bairro Azul, Rua Américo Júlio de Carvalho, Casa n.º 26, adjacente à agência do BFA e ao novo edifício da Assembleia Nacional. 66 Luanda, Angola</dc:title>
  <dc:subject/>
  <dc:creator>+244 935 793 270geral@ilungi.aoilungi.ao</dc:creator>
  <cp:keywords/>
  <dc:description/>
  <cp:lastModifiedBy>Manuel Isaac Cadete</cp:lastModifiedBy>
  <cp:revision>3</cp:revision>
  <cp:lastPrinted>2023-04-26T14:47:00Z</cp:lastPrinted>
  <dcterms:created xsi:type="dcterms:W3CDTF">2026-01-09T00:06:00Z</dcterms:created>
  <dcterms:modified xsi:type="dcterms:W3CDTF">2026-01-09T01:12:00Z</dcterms:modified>
</cp:coreProperties>
</file>