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mbria" w:cs="Cambria" w:eastAsia="Cambria" w:hAnsi="Cambria"/>
          <w:color w:val="1F3864"/>
          <w:sz w:val="52"/>
          <w:szCs w:val="52"/>
        </w:rPr>
        <w:t xml:space="preserve">FM Testing Harness</w:t>
      </w:r>
    </w:p>
    <w:p>
      <w:pPr>
        <w:spacing w:after="200"/>
        <w:jc w:val="center"/>
      </w:pPr>
      <w:r>
        <w:rPr>
          <w:rFonts w:ascii="Cambria" w:cs="Cambria" w:eastAsia="Cambria" w:hAnsi="Cambria"/>
          <w:color w:val="595959"/>
          <w:sz w:val="28"/>
          <w:szCs w:val="28"/>
        </w:rPr>
        <w:t xml:space="preserve">Configuration Guide: Onboarding a New Foundation Model and Registering Benchmarks</w:t>
      </w:r>
    </w:p>
    <w:p>
      <w:pPr>
        <w:spacing w:after="120"/>
        <w:jc w:val="center"/>
      </w:pPr>
      <w:r>
        <w:rPr>
          <w:rFonts w:ascii="Calibri" w:cs="Calibri" w:eastAsia="Calibri" w:hAnsi="Calibri"/>
          <w:color w:val="595959"/>
          <w:sz w:val="22"/>
          <w:szCs w:val="22"/>
        </w:rPr>
        <w:t xml:space="preserve">Model Risk Management, GenAI and Agentic AI. Version 0.1, July 2026</w:t>
      </w:r>
    </w:p>
    <w:p>
      <w:r>
        <w:br w:type="page"/>
      </w:r>
    </w:p>
    <w:p>
      <w:pPr>
        <w:pStyle w:val="Heading1"/>
        <w:spacing w:after="200" w:before="360"/>
      </w:pPr>
      <w:r>
        <w:rPr>
          <w:rFonts w:ascii="Cambria" w:cs="Cambria" w:eastAsia="Cambria" w:hAnsi="Cambria"/>
          <w:color w:val="1F3864"/>
          <w:sz w:val="32"/>
          <w:szCs w:val="32"/>
        </w:rPr>
        <w:t xml:space="preserve">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mbria" w:cs="Cambria" w:eastAsia="Cambria" w:hAnsi="Cambria"/>
          <w:color w:val="1F3864"/>
          <w:sz w:val="32"/>
          <w:szCs w:val="32"/>
        </w:rPr>
        <w:t xml:space="preserve">1. Architecture in One Page</w:t>
      </w:r>
    </w:p>
    <w:p>
      <w:pPr>
        <w:spacing w:after="160" w:line="276"/>
        <w:jc w:val="both"/>
      </w:pPr>
      <w:r>
        <w:rPr>
          <w:rFonts w:ascii="Calibri" w:cs="Calibri" w:eastAsia="Calibri" w:hAnsi="Calibri"/>
          <w:sz w:val="22"/>
          <w:szCs w:val="22"/>
        </w:rPr>
        <w:t xml:space="preserve">The harness implements the Foundation Model Testing Program playbook as a config-driven pipeline. Everything a practitioner routinely changes lives in YAML under config/. Code changes are needed only for a new provider API shape (one adapter class) or a new metric function (one registered function). The invariant that makes rapid validation possible: a foundation model is one YAML file, a benchmark is one YAML file plus data, and a suite condition is a YAML block.</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3300"/>
        <w:gridCol w:w="3760"/>
      </w:tblGrid>
      <w:tr>
        <w:trPr>
          <w:tblHeader/>
        </w:trPr>
        <w:tc>
          <w:tcPr>
            <w:tcW w:type="dxa" w:w="23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Layer</w:t>
            </w:r>
          </w:p>
        </w:tc>
        <w:tc>
          <w:tcPr>
            <w:tcW w:type="dxa" w:w="33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Location</w:t>
            </w:r>
          </w:p>
        </w:tc>
        <w:tc>
          <w:tcPr>
            <w:tcW w:type="dxa" w:w="3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You touch it when</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Model adapters</w:t>
            </w:r>
          </w:p>
        </w:tc>
        <w:tc>
          <w:tcPr>
            <w:tcW w:type="dxa" w:w="33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fm_harness/adapters/</w:t>
            </w:r>
          </w:p>
        </w:tc>
        <w:tc>
          <w:tcPr>
            <w:tcW w:type="dxa" w:w="37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 provider API shape not covered by openai_compat, anthropic, or google appears</w:t>
            </w:r>
          </w:p>
        </w:tc>
      </w:tr>
      <w:tr>
        <w:tc>
          <w:tcPr>
            <w:tcW w:type="dxa" w:w="23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Model configs</w:t>
            </w:r>
          </w:p>
        </w:tc>
        <w:tc>
          <w:tcPr>
            <w:tcW w:type="dxa" w:w="33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config/models/*.yaml</w:t>
            </w:r>
          </w:p>
        </w:tc>
        <w:tc>
          <w:tcPr>
            <w:tcW w:type="dxa" w:w="37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Onboarding any new FM (the normal path, no code)</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Dataset registry</w:t>
            </w:r>
          </w:p>
        </w:tc>
        <w:tc>
          <w:tcPr>
            <w:tcW w:type="dxa" w:w="33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config/datasets/{internal,external}/*.yaml</w:t>
            </w:r>
          </w:p>
        </w:tc>
        <w:tc>
          <w:tcPr>
            <w:tcW w:type="dxa" w:w="37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Adding an internal dataset or external benchmark</w:t>
            </w:r>
          </w:p>
        </w:tc>
      </w:tr>
      <w:tr>
        <w:tc>
          <w:tcPr>
            <w:tcW w:type="dxa" w:w="23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Suite specs</w:t>
            </w:r>
          </w:p>
        </w:tc>
        <w:tc>
          <w:tcPr>
            <w:tcW w:type="dxa" w:w="33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config/suites/*.yaml</w:t>
            </w:r>
          </w:p>
        </w:tc>
        <w:tc>
          <w:tcPr>
            <w:tcW w:type="dxa" w:w="37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Adding conditions, prompts, metrics, or a new family suite</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Decoding configs</w:t>
            </w:r>
          </w:p>
        </w:tc>
        <w:tc>
          <w:tcPr>
            <w:tcW w:type="dxa" w:w="33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config/decoding.yaml</w:t>
            </w:r>
          </w:p>
        </w:tc>
        <w:tc>
          <w:tcPr>
            <w:tcW w:type="dxa" w:w="37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Changing standard decoding profiles D0..D3, DR_*</w:t>
            </w:r>
          </w:p>
        </w:tc>
      </w:tr>
      <w:tr>
        <w:tc>
          <w:tcPr>
            <w:tcW w:type="dxa" w:w="23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Grading rules</w:t>
            </w:r>
          </w:p>
        </w:tc>
        <w:tc>
          <w:tcPr>
            <w:tcW w:type="dxa" w:w="33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config/grading.yaml</w:t>
            </w:r>
          </w:p>
        </w:tc>
        <w:tc>
          <w:tcPr>
            <w:tcW w:type="dxa" w:w="37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Changing thresholds or critical probes per family</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Judge</w:t>
            </w:r>
          </w:p>
        </w:tc>
        <w:tc>
          <w:tcPr>
            <w:tcW w:type="dxa" w:w="33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config/judge.yaml</w:t>
            </w:r>
          </w:p>
        </w:tc>
        <w:tc>
          <w:tcPr>
            <w:tcW w:type="dxa" w:w="37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Re-pinning the judge model or rubric version</w:t>
            </w:r>
          </w:p>
        </w:tc>
      </w:tr>
      <w:tr>
        <w:tc>
          <w:tcPr>
            <w:tcW w:type="dxa" w:w="23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Metrics</w:t>
            </w:r>
          </w:p>
        </w:tc>
        <w:tc>
          <w:tcPr>
            <w:tcW w:type="dxa" w:w="330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fm_harness/metrics/registry.py</w:t>
            </w:r>
          </w:p>
        </w:tc>
        <w:tc>
          <w:tcPr>
            <w:tcW w:type="dxa" w:w="3760"/>
            <w:shd w:fill="EDF1F7"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Adding a metric function (then reference it by name in YAML)</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Sandbox</w:t>
            </w:r>
          </w:p>
        </w:tc>
        <w:tc>
          <w:tcPr>
            <w:tcW w:type="dxa" w:w="33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fm_harness/sandbox/tools.py</w:t>
            </w:r>
          </w:p>
        </w:tc>
        <w:tc>
          <w:tcPr>
            <w:tcW w:type="dxa" w:w="37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Extending the banking tool simulator for agentic suites</w:t>
            </w:r>
          </w:p>
        </w:tc>
      </w:tr>
    </w:tbl>
    <w:p>
      <w:pPr>
        <w:spacing w:after="160" w:line="276"/>
        <w:jc w:val="both"/>
      </w:pPr>
      <w:r>
        <w:rPr>
          <w:rFonts w:ascii="Calibri" w:cs="Calibri" w:eastAsia="Calibri" w:hAnsi="Calibri"/>
          <w:sz w:val="22"/>
          <w:szCs w:val="22"/>
        </w:rPr>
        <w:t xml:space="preserve">Execution flow: cli run loads the model adapter, loads the suite spec, expands conditions times items times decoding configs times repeats into work units, executes them in parallel with caching and a cost guard, logs every call to runs/, optionally applies judge scoring, aggregates metrics per condition, applies grading rules with critical-probe gates, drafts limitation candidates, and writes profiles/&lt;model&gt;/&lt;suite&gt;.json and .md. cli compare renders the cross-model view from emitted profiles.</w:t>
      </w:r>
    </w:p>
    <w:p>
      <w:pPr>
        <w:pStyle w:val="Heading1"/>
        <w:spacing w:after="200" w:before="360"/>
      </w:pPr>
      <w:r>
        <w:rPr>
          <w:rFonts w:ascii="Cambria" w:cs="Cambria" w:eastAsia="Cambria" w:hAnsi="Cambria"/>
          <w:color w:val="1F3864"/>
          <w:sz w:val="32"/>
          <w:szCs w:val="32"/>
        </w:rPr>
        <w:t xml:space="preserve">2. Onboarding a New Foundation Model</w:t>
      </w:r>
    </w:p>
    <w:p>
      <w:pPr>
        <w:spacing w:after="160" w:line="276"/>
        <w:jc w:val="both"/>
      </w:pPr>
      <w:r>
        <w:rPr>
          <w:rFonts w:ascii="Calibri" w:cs="Calibri" w:eastAsia="Calibri" w:hAnsi="Calibri"/>
          <w:sz w:val="22"/>
          <w:szCs w:val="22"/>
        </w:rPr>
        <w:t xml:space="preserve">Prerequisite: the FM exposes an HTTP API and you hold a credential. Onboarding is four steps and typically under an hour, most of which is the smoke run.</w:t>
      </w:r>
    </w:p>
    <w:p>
      <w:pPr>
        <w:pStyle w:val="Heading2"/>
        <w:spacing w:after="160" w:before="280"/>
      </w:pPr>
      <w:r>
        <w:rPr>
          <w:rFonts w:ascii="Cambria" w:cs="Cambria" w:eastAsia="Cambria" w:hAnsi="Cambria"/>
          <w:color w:val="1F3864"/>
          <w:sz w:val="26"/>
          <w:szCs w:val="26"/>
        </w:rPr>
        <w:t xml:space="preserve">2.1 Step 1: Pick or write the adapter</w:t>
      </w:r>
    </w:p>
    <w:p>
      <w:pPr>
        <w:pStyle w:val="ListParagraph"/>
        <w:numPr>
          <w:ilvl w:val="0"/>
          <w:numId w:val="2"/>
        </w:numPr>
        <w:spacing w:after="80" w:line="264"/>
      </w:pPr>
      <w:r>
        <w:rPr>
          <w:rFonts w:ascii="Calibri" w:cs="Calibri" w:eastAsia="Calibri" w:hAnsi="Calibri"/>
          <w:sz w:val="22"/>
          <w:szCs w:val="22"/>
        </w:rPr>
        <w:t xml:space="preserve">openai_compat covers OpenAI, Azure OpenAI, Mistral, Qwen, DeepSeek, and any self-hosted model behind vLLM or TGI (Llama). Set base_url to the endpoint.</w:t>
      </w:r>
    </w:p>
    <w:p>
      <w:pPr>
        <w:pStyle w:val="ListParagraph"/>
        <w:numPr>
          <w:ilvl w:val="0"/>
          <w:numId w:val="2"/>
        </w:numPr>
        <w:spacing w:after="80" w:line="264"/>
      </w:pPr>
      <w:r>
        <w:rPr>
          <w:rFonts w:ascii="Calibri" w:cs="Calibri" w:eastAsia="Calibri" w:hAnsi="Calibri"/>
          <w:sz w:val="22"/>
          <w:szCs w:val="22"/>
        </w:rPr>
        <w:t xml:space="preserve">anthropic covers Claude models via the Messages API, including extended thinking budgets.</w:t>
      </w:r>
    </w:p>
    <w:p>
      <w:pPr>
        <w:pStyle w:val="ListParagraph"/>
        <w:numPr>
          <w:ilvl w:val="0"/>
          <w:numId w:val="2"/>
        </w:numPr>
        <w:spacing w:after="80" w:line="264"/>
      </w:pPr>
      <w:r>
        <w:rPr>
          <w:rFonts w:ascii="Calibri" w:cs="Calibri" w:eastAsia="Calibri" w:hAnsi="Calibri"/>
          <w:sz w:val="22"/>
          <w:szCs w:val="22"/>
        </w:rPr>
        <w:t xml:space="preserve">google covers Gemini via generateContent, including thinkingConfig budgets.</w:t>
      </w:r>
    </w:p>
    <w:p>
      <w:pPr>
        <w:pStyle w:val="ListParagraph"/>
        <w:numPr>
          <w:ilvl w:val="0"/>
          <w:numId w:val="2"/>
        </w:numPr>
        <w:spacing w:after="80" w:line="264"/>
      </w:pPr>
      <w:r>
        <w:rPr>
          <w:rFonts w:ascii="Calibri" w:cs="Calibri" w:eastAsia="Calibri" w:hAnsi="Calibri"/>
          <w:sz w:val="22"/>
          <w:szCs w:val="22"/>
        </w:rPr>
        <w:t xml:space="preserve">Only if the provider matches none of these shapes, subclass ModelAdapter in fm_harness/adapters/, implement complete(request) mapping ModelRequest to the provider payload and the reply to ModelResponse, and add one line to ADAPTERS in adapters/registry.py. The mock adapter is a 40 line reference.</w:t>
      </w:r>
    </w:p>
    <w:p>
      <w:pPr>
        <w:pStyle w:val="Heading2"/>
        <w:spacing w:after="160" w:before="280"/>
      </w:pPr>
      <w:r>
        <w:rPr>
          <w:rFonts w:ascii="Cambria" w:cs="Cambria" w:eastAsia="Cambria" w:hAnsi="Cambria"/>
          <w:color w:val="1F3864"/>
          <w:sz w:val="26"/>
          <w:szCs w:val="26"/>
        </w:rPr>
        <w:t xml:space="preserve">2.2 Step 2: Write the model YAML</w:t>
      </w:r>
    </w:p>
    <w:p>
      <w:pPr>
        <w:spacing w:after="160" w:line="276"/>
        <w:jc w:val="both"/>
      </w:pPr>
      <w:r>
        <w:rPr>
          <w:rFonts w:ascii="Calibri" w:cs="Calibri" w:eastAsia="Calibri" w:hAnsi="Calibri"/>
          <w:sz w:val="22"/>
          <w:szCs w:val="22"/>
        </w:rPr>
        <w:t xml:space="preserve">Create config/models/&lt;name&gt;.yaml. The file name is the model handle used on the command line. Fields:</w:t>
      </w:r>
    </w:p>
    <w:p>
      <w:pPr>
        <w:shd w:fill="F3F3F3" w:val="clear"/>
        <w:spacing w:after="0" w:line="240"/>
        <w:ind w:left="360"/>
      </w:pPr>
      <w:r>
        <w:rPr>
          <w:rFonts w:ascii="Consolas" w:cs="Consolas" w:eastAsia="Consolas" w:hAnsi="Consolas"/>
          <w:sz w:val="18"/>
          <w:szCs w:val="18"/>
        </w:rPr>
        <w:t xml:space="preserve"># config/models/gemini-2-5-pro.yaml</w:t>
      </w:r>
    </w:p>
    <w:p>
      <w:pPr>
        <w:shd w:fill="F3F3F3" w:val="clear"/>
        <w:spacing w:after="0" w:line="240"/>
        <w:ind w:left="360"/>
      </w:pPr>
      <w:r>
        <w:rPr>
          <w:rFonts w:ascii="Consolas" w:cs="Consolas" w:eastAsia="Consolas" w:hAnsi="Consolas"/>
          <w:sz w:val="18"/>
          <w:szCs w:val="18"/>
        </w:rPr>
        <w:t xml:space="preserve">adapter: google                # openai_compat | anthropic | google | mock</w:t>
      </w:r>
    </w:p>
    <w:p>
      <w:pPr>
        <w:shd w:fill="F3F3F3" w:val="clear"/>
        <w:spacing w:after="0" w:line="240"/>
        <w:ind w:left="360"/>
      </w:pPr>
      <w:r>
        <w:rPr>
          <w:rFonts w:ascii="Consolas" w:cs="Consolas" w:eastAsia="Consolas" w:hAnsi="Consolas"/>
          <w:sz w:val="18"/>
          <w:szCs w:val="18"/>
        </w:rPr>
        <w:t xml:space="preserve">model_string: gemini-2.5-pro   # exact provider model string = unit of validation</w:t>
      </w:r>
    </w:p>
    <w:p>
      <w:pPr>
        <w:shd w:fill="F3F3F3" w:val="clear"/>
        <w:spacing w:after="0" w:line="240"/>
        <w:ind w:left="360"/>
      </w:pPr>
      <w:r>
        <w:rPr>
          <w:rFonts w:ascii="Consolas" w:cs="Consolas" w:eastAsia="Consolas" w:hAnsi="Consolas"/>
          <w:sz w:val="18"/>
          <w:szCs w:val="18"/>
        </w:rPr>
        <w:t xml:space="preserve">api_key_env: GOOGLE_API_KEY    # env var holding the credential</w:t>
      </w:r>
    </w:p>
    <w:p>
      <w:pPr>
        <w:shd w:fill="F3F3F3" w:val="clear"/>
        <w:spacing w:after="0" w:line="240"/>
        <w:ind w:left="360"/>
      </w:pPr>
      <w:r>
        <w:rPr>
          <w:rFonts w:ascii="Consolas" w:cs="Consolas" w:eastAsia="Consolas" w:hAnsi="Consolas"/>
          <w:sz w:val="18"/>
          <w:szCs w:val="18"/>
        </w:rPr>
        <w:t xml:space="preserve"># base_url: ...                # override for gateways or self-hosting</w:t>
      </w:r>
    </w:p>
    <w:p>
      <w:pPr>
        <w:shd w:fill="F3F3F3" w:val="clear"/>
        <w:spacing w:after="0" w:line="240"/>
        <w:ind w:left="360"/>
      </w:pPr>
      <w:r>
        <w:rPr>
          <w:rFonts w:ascii="Consolas" w:cs="Consolas" w:eastAsia="Consolas" w:hAnsi="Consolas"/>
          <w:sz w:val="18"/>
          <w:szCs w:val="18"/>
        </w:rPr>
        <w:t xml:space="preserve">timeout_s: 600</w:t>
      </w:r>
    </w:p>
    <w:p>
      <w:pPr>
        <w:shd w:fill="F3F3F3" w:val="clear"/>
        <w:spacing w:after="0" w:line="240"/>
        <w:ind w:left="360"/>
      </w:pPr>
      <w:r>
        <w:rPr>
          <w:rFonts w:ascii="Consolas" w:cs="Consolas" w:eastAsia="Consolas" w:hAnsi="Consolas"/>
          <w:sz w:val="18"/>
          <w:szCs w:val="18"/>
        </w:rPr>
        <w:t xml:space="preserve">capabilities:</w:t>
      </w:r>
    </w:p>
    <w:p>
      <w:pPr>
        <w:shd w:fill="F3F3F3" w:val="clear"/>
        <w:spacing w:after="0" w:line="240"/>
        <w:ind w:left="360"/>
      </w:pPr>
      <w:r>
        <w:rPr>
          <w:rFonts w:ascii="Consolas" w:cs="Consolas" w:eastAsia="Consolas" w:hAnsi="Consolas"/>
          <w:sz w:val="18"/>
          <w:szCs w:val="18"/>
        </w:rPr>
        <w:t xml:space="preserve">  supports_tools: true</w:t>
      </w:r>
    </w:p>
    <w:p>
      <w:pPr>
        <w:shd w:fill="F3F3F3" w:val="clear"/>
        <w:spacing w:after="0" w:line="240"/>
        <w:ind w:left="360"/>
      </w:pPr>
      <w:r>
        <w:rPr>
          <w:rFonts w:ascii="Consolas" w:cs="Consolas" w:eastAsia="Consolas" w:hAnsi="Consolas"/>
          <w:sz w:val="18"/>
          <w:szCs w:val="18"/>
        </w:rPr>
        <w:t xml:space="preserve">  supports_structured_output: false</w:t>
      </w:r>
    </w:p>
    <w:p>
      <w:pPr>
        <w:shd w:fill="F3F3F3" w:val="clear"/>
        <w:spacing w:after="0" w:line="240"/>
        <w:ind w:left="360"/>
      </w:pPr>
      <w:r>
        <w:rPr>
          <w:rFonts w:ascii="Consolas" w:cs="Consolas" w:eastAsia="Consolas" w:hAnsi="Consolas"/>
          <w:sz w:val="18"/>
          <w:szCs w:val="18"/>
        </w:rPr>
        <w:t xml:space="preserve">  supports_seed: false         # drives determinism testing expectations</w:t>
      </w:r>
    </w:p>
    <w:p>
      <w:pPr>
        <w:shd w:fill="F3F3F3" w:val="clear"/>
        <w:spacing w:after="0" w:line="240"/>
        <w:ind w:left="360"/>
      </w:pPr>
      <w:r>
        <w:rPr>
          <w:rFonts w:ascii="Consolas" w:cs="Consolas" w:eastAsia="Consolas" w:hAnsi="Consolas"/>
          <w:sz w:val="18"/>
          <w:szCs w:val="18"/>
        </w:rPr>
        <w:t xml:space="preserve">  supports_logprobs: false     # gates logprob-based confidence designs</w:t>
      </w:r>
    </w:p>
    <w:p>
      <w:pPr>
        <w:shd w:fill="F3F3F3" w:val="clear"/>
        <w:spacing w:after="0" w:line="240"/>
        <w:ind w:left="360"/>
      </w:pPr>
      <w:r>
        <w:rPr>
          <w:rFonts w:ascii="Consolas" w:cs="Consolas" w:eastAsia="Consolas" w:hAnsi="Consolas"/>
          <w:sz w:val="18"/>
          <w:szCs w:val="18"/>
        </w:rPr>
        <w:t xml:space="preserve">  supports_reasoning_modes: true</w:t>
      </w:r>
    </w:p>
    <w:p>
      <w:pPr>
        <w:shd w:fill="F3F3F3" w:val="clear"/>
        <w:spacing w:after="0" w:line="240"/>
        <w:ind w:left="360"/>
      </w:pPr>
      <w:r>
        <w:rPr>
          <w:rFonts w:ascii="Consolas" w:cs="Consolas" w:eastAsia="Consolas" w:hAnsi="Consolas"/>
          <w:sz w:val="18"/>
          <w:szCs w:val="18"/>
        </w:rPr>
        <w:t xml:space="preserve">  reasoning_levels: [low, medium, high]</w:t>
      </w:r>
    </w:p>
    <w:p>
      <w:pPr>
        <w:shd w:fill="F3F3F3" w:val="clear"/>
        <w:spacing w:after="0" w:line="240"/>
        <w:ind w:left="360"/>
      </w:pPr>
      <w:r>
        <w:rPr>
          <w:rFonts w:ascii="Consolas" w:cs="Consolas" w:eastAsia="Consolas" w:hAnsi="Consolas"/>
          <w:sz w:val="18"/>
          <w:szCs w:val="18"/>
        </w:rPr>
        <w:t xml:space="preserve">  supports_vision: true</w:t>
      </w:r>
    </w:p>
    <w:p>
      <w:pPr>
        <w:shd w:fill="F3F3F3" w:val="clear"/>
        <w:spacing w:after="0" w:line="240"/>
        <w:ind w:left="360"/>
      </w:pPr>
      <w:r>
        <w:rPr>
          <w:rFonts w:ascii="Consolas" w:cs="Consolas" w:eastAsia="Consolas" w:hAnsi="Consolas"/>
          <w:sz w:val="18"/>
          <w:szCs w:val="18"/>
        </w:rPr>
        <w:t xml:space="preserve">  max_context: 1000000         # from the provider model card, verified at intake</w:t>
      </w:r>
    </w:p>
    <w:p>
      <w:pPr>
        <w:shd w:fill="F3F3F3" w:val="clear"/>
        <w:spacing w:after="0" w:line="240"/>
        <w:ind w:left="360"/>
      </w:pPr>
      <w:r>
        <w:rPr>
          <w:rFonts w:ascii="Consolas" w:cs="Consolas" w:eastAsia="Consolas" w:hAnsi="Consolas"/>
          <w:sz w:val="18"/>
          <w:szCs w:val="18"/>
        </w:rPr>
        <w:t xml:space="preserve">  max_output: 65536</w:t>
      </w:r>
    </w:p>
    <w:p>
      <w:pPr>
        <w:shd w:fill="F3F3F3" w:val="clear"/>
        <w:spacing w:after="0" w:line="240"/>
        <w:ind w:left="360"/>
      </w:pPr>
      <w:r>
        <w:rPr>
          <w:rFonts w:ascii="Consolas" w:cs="Consolas" w:eastAsia="Consolas" w:hAnsi="Consolas"/>
          <w:sz w:val="18"/>
          <w:szCs w:val="18"/>
        </w:rPr>
        <w:t xml:space="preserve">  locked_temperature_in_reasoning: false</w:t>
      </w:r>
    </w:p>
    <w:p>
      <w:pPr>
        <w:shd w:fill="F3F3F3" w:val="clear"/>
        <w:spacing w:after="0" w:line="240"/>
        <w:ind w:left="360"/>
      </w:pPr>
      <w:r>
        <w:rPr>
          <w:rFonts w:ascii="Consolas" w:cs="Consolas" w:eastAsia="Consolas" w:hAnsi="Consolas"/>
          <w:sz w:val="18"/>
          <w:szCs w:val="18"/>
        </w:rPr>
        <w:t xml:space="preserve">thinking_budgets: {low: 1024, medium: 8192, high: 24576}</w:t>
      </w:r>
    </w:p>
    <w:p>
      <w:pPr>
        <w:shd w:fill="F3F3F3" w:val="clear"/>
        <w:spacing w:after="0" w:line="240"/>
        <w:ind w:left="360"/>
      </w:pPr>
      <w:r>
        <w:rPr>
          <w:rFonts w:ascii="Consolas" w:cs="Consolas" w:eastAsia="Consolas" w:hAnsi="Consolas"/>
          <w:sz w:val="18"/>
          <w:szCs w:val="18"/>
        </w:rPr>
        <w:t xml:space="preserve">pricing: {input_per_mtok: 1.25, output_per_mtok: 10.0}   # feeds cost metrics and the cost guard</w:t>
      </w:r>
    </w:p>
    <w:p>
      <w:pPr>
        <w:spacing w:after="160"/>
      </w:pPr>
    </w:p>
    <w:p>
      <w:pPr>
        <w:spacing w:after="160" w:line="276"/>
        <w:jc w:val="both"/>
      </w:pPr>
      <w:r>
        <w:rPr>
          <w:rFonts w:ascii="Calibri" w:cs="Calibri" w:eastAsia="Calibri" w:hAnsi="Calibri"/>
          <w:sz w:val="22"/>
          <w:szCs w:val="22"/>
        </w:rPr>
        <w:t xml:space="preserve">Capabilities matter: suites consult them. If supports_reasoning_modes is false, DR_* decoding configs are not applicable to this model; if supports_seed is false, the determinism suite documents that as a profile fact and a downstream testing constraint. Record the model card values you used and the date; the intake record in the system of record should reference this file at a specific commit.</w:t>
      </w:r>
    </w:p>
    <w:p>
      <w:pPr>
        <w:pStyle w:val="Heading2"/>
        <w:spacing w:after="160" w:before="280"/>
      </w:pPr>
      <w:r>
        <w:rPr>
          <w:rFonts w:ascii="Cambria" w:cs="Cambria" w:eastAsia="Cambria" w:hAnsi="Cambria"/>
          <w:color w:val="1F3864"/>
          <w:sz w:val="26"/>
          <w:szCs w:val="26"/>
        </w:rPr>
        <w:t xml:space="preserve">2.3 Step 3: Smoke run</w:t>
      </w:r>
    </w:p>
    <w:p>
      <w:pPr>
        <w:shd w:fill="F3F3F3" w:val="clear"/>
        <w:spacing w:after="0" w:line="240"/>
        <w:ind w:left="360"/>
      </w:pPr>
      <w:r>
        <w:rPr>
          <w:rFonts w:ascii="Consolas" w:cs="Consolas" w:eastAsia="Consolas" w:hAnsi="Consolas"/>
          <w:sz w:val="18"/>
          <w:szCs w:val="18"/>
        </w:rPr>
        <w:t xml:space="preserve">export GOOGLE_API_KEY=...</w:t>
      </w:r>
    </w:p>
    <w:p>
      <w:pPr>
        <w:shd w:fill="F3F3F3" w:val="clear"/>
        <w:spacing w:after="0" w:line="240"/>
        <w:ind w:left="360"/>
      </w:pPr>
      <w:r>
        <w:rPr>
          <w:rFonts w:ascii="Consolas" w:cs="Consolas" w:eastAsia="Consolas" w:hAnsi="Consolas"/>
          <w:sz w:val="18"/>
          <w:szCs w:val="18"/>
        </w:rPr>
        <w:t xml:space="preserve">python -m fm_harness.cli run --model gemini-2-5-pro \</w:t>
      </w:r>
    </w:p>
    <w:p>
      <w:pPr>
        <w:shd w:fill="F3F3F3" w:val="clear"/>
        <w:spacing w:after="0" w:line="240"/>
        <w:ind w:left="360"/>
      </w:pPr>
      <w:r>
        <w:rPr>
          <w:rFonts w:ascii="Consolas" w:cs="Consolas" w:eastAsia="Consolas" w:hAnsi="Consolas"/>
          <w:sz w:val="18"/>
          <w:szCs w:val="18"/>
        </w:rPr>
        <w:t xml:space="preserve">       --suite classification_core --workers 4 --max-usd 5</w:t>
      </w:r>
    </w:p>
    <w:p>
      <w:pPr>
        <w:spacing w:after="160"/>
      </w:pPr>
    </w:p>
    <w:p>
      <w:pPr>
        <w:spacing w:after="160" w:line="276"/>
        <w:jc w:val="both"/>
      </w:pPr>
      <w:r>
        <w:rPr>
          <w:rFonts w:ascii="Calibri" w:cs="Calibri" w:eastAsia="Calibri" w:hAnsi="Calibri"/>
          <w:sz w:val="22"/>
          <w:szCs w:val="22"/>
        </w:rPr>
        <w:t xml:space="preserve">The cost guard stops spending at max-usd; the cache under runs/_cache makes interrupted runs resumable at no extra cost. Verify: no error_rate in the printed metrics, latencies plausible, tokens nonzero (if tokens are zero the adapter's usage parsing needs attention).</w:t>
      </w:r>
    </w:p>
    <w:p>
      <w:pPr>
        <w:pStyle w:val="Heading2"/>
        <w:spacing w:after="160" w:before="280"/>
      </w:pPr>
      <w:r>
        <w:rPr>
          <w:rFonts w:ascii="Cambria" w:cs="Cambria" w:eastAsia="Cambria" w:hAnsi="Cambria"/>
          <w:color w:val="1F3864"/>
          <w:sz w:val="26"/>
          <w:szCs w:val="26"/>
        </w:rPr>
        <w:t xml:space="preserve">2.4 Step 4: Full battery and profile</w:t>
      </w:r>
    </w:p>
    <w:p>
      <w:pPr>
        <w:shd w:fill="F3F3F3" w:val="clear"/>
        <w:spacing w:after="0" w:line="240"/>
        <w:ind w:left="360"/>
      </w:pPr>
      <w:r>
        <w:rPr>
          <w:rFonts w:ascii="Consolas" w:cs="Consolas" w:eastAsia="Consolas" w:hAnsi="Consolas"/>
          <w:sz w:val="18"/>
          <w:szCs w:val="18"/>
        </w:rPr>
        <w:t xml:space="preserve">for s in classification_core rag_core reasoning_quant agentic_single; do</w:t>
      </w:r>
    </w:p>
    <w:p>
      <w:pPr>
        <w:shd w:fill="F3F3F3" w:val="clear"/>
        <w:spacing w:after="0" w:line="240"/>
        <w:ind w:left="360"/>
      </w:pPr>
      <w:r>
        <w:rPr>
          <w:rFonts w:ascii="Consolas" w:cs="Consolas" w:eastAsia="Consolas" w:hAnsi="Consolas"/>
          <w:sz w:val="18"/>
          <w:szCs w:val="18"/>
        </w:rPr>
        <w:t xml:space="preserve">  python -m fm_harness.cli run --model gemini-2-5-pro --suite $s --judge --max-usd 50</w:t>
      </w:r>
    </w:p>
    <w:p>
      <w:pPr>
        <w:shd w:fill="F3F3F3" w:val="clear"/>
        <w:spacing w:after="0" w:line="240"/>
        <w:ind w:left="360"/>
      </w:pPr>
      <w:r>
        <w:rPr>
          <w:rFonts w:ascii="Consolas" w:cs="Consolas" w:eastAsia="Consolas" w:hAnsi="Consolas"/>
          <w:sz w:val="18"/>
          <w:szCs w:val="18"/>
        </w:rPr>
        <w:t xml:space="preserve">done</w:t>
      </w:r>
    </w:p>
    <w:p>
      <w:pPr>
        <w:shd w:fill="F3F3F3" w:val="clear"/>
        <w:spacing w:after="0" w:line="240"/>
        <w:ind w:left="360"/>
      </w:pPr>
      <w:r>
        <w:rPr>
          <w:rFonts w:ascii="Consolas" w:cs="Consolas" w:eastAsia="Consolas" w:hAnsi="Consolas"/>
          <w:sz w:val="18"/>
          <w:szCs w:val="18"/>
        </w:rPr>
        <w:t xml:space="preserve">python -m fm_harness.cli compare --suite classification_core</w:t>
      </w:r>
    </w:p>
    <w:p>
      <w:pPr>
        <w:spacing w:after="160"/>
      </w:pPr>
    </w:p>
    <w:p>
      <w:pPr>
        <w:spacing w:after="160" w:line="276"/>
        <w:jc w:val="both"/>
      </w:pPr>
      <w:r>
        <w:rPr>
          <w:rFonts w:ascii="Calibri" w:cs="Calibri" w:eastAsia="Calibri" w:hAnsi="Calibri"/>
          <w:sz w:val="22"/>
          <w:szCs w:val="22"/>
        </w:rPr>
        <w:t xml:space="preserve">Each run emits profiles/&lt;model&gt;/&lt;suite&gt;.json (machine-readable, for registry integration) and .md (human-readable, for validator review). The profile carries review_status DRAFT until a validator adjudicates grades and limitation candidates; sign-off and publication to the system of record happen outside the harness.</w:t>
      </w:r>
    </w:p>
    <w:p>
      <w:pPr>
        <w:pStyle w:val="Heading1"/>
        <w:spacing w:after="200" w:before="360"/>
      </w:pPr>
      <w:r>
        <w:rPr>
          <w:rFonts w:ascii="Cambria" w:cs="Cambria" w:eastAsia="Cambria" w:hAnsi="Cambria"/>
          <w:color w:val="1F3864"/>
          <w:sz w:val="32"/>
          <w:szCs w:val="32"/>
        </w:rPr>
        <w:t xml:space="preserve">3. Registering a New External Benchmark</w:t>
      </w:r>
    </w:p>
    <w:p>
      <w:pPr>
        <w:spacing w:after="160" w:line="276"/>
        <w:jc w:val="both"/>
      </w:pPr>
      <w:r>
        <w:rPr>
          <w:rFonts w:ascii="Calibri" w:cs="Calibri" w:eastAsia="Calibri" w:hAnsi="Calibri"/>
          <w:sz w:val="22"/>
          <w:szCs w:val="22"/>
        </w:rPr>
        <w:t xml:space="preserve">Copy config/datasets/external/TEMPLATE-external-benchmark.yaml, fill it in, and reference the dataset id from a suite condition. Two loader paths:</w:t>
      </w:r>
    </w:p>
    <w:p>
      <w:pPr>
        <w:pStyle w:val="Heading2"/>
        <w:spacing w:after="160" w:before="280"/>
      </w:pPr>
      <w:r>
        <w:rPr>
          <w:rFonts w:ascii="Cambria" w:cs="Cambria" w:eastAsia="Cambria" w:hAnsi="Cambria"/>
          <w:color w:val="1F3864"/>
          <w:sz w:val="26"/>
          <w:szCs w:val="26"/>
        </w:rPr>
        <w:t xml:space="preserve">3.1 File-based (jsonl or csv)</w:t>
      </w:r>
    </w:p>
    <w:p>
      <w:pPr>
        <w:spacing w:after="160" w:line="276"/>
        <w:jc w:val="both"/>
      </w:pPr>
      <w:r>
        <w:rPr>
          <w:rFonts w:ascii="Calibri" w:cs="Calibri" w:eastAsia="Calibri" w:hAnsi="Calibri"/>
          <w:sz w:val="22"/>
          <w:szCs w:val="22"/>
        </w:rPr>
        <w:t xml:space="preserve">Download the benchmark, convert to JSONL with one object per item, place it under a data directory, and register:</w:t>
      </w:r>
    </w:p>
    <w:p>
      <w:pPr>
        <w:shd w:fill="F3F3F3" w:val="clear"/>
        <w:spacing w:after="0" w:line="240"/>
        <w:ind w:left="360"/>
      </w:pPr>
      <w:r>
        <w:rPr>
          <w:rFonts w:ascii="Consolas" w:cs="Consolas" w:eastAsia="Consolas" w:hAnsi="Consolas"/>
          <w:sz w:val="18"/>
          <w:szCs w:val="18"/>
        </w:rPr>
        <w:t xml:space="preserve">id: frames-benchmark</w:t>
      </w:r>
    </w:p>
    <w:p>
      <w:pPr>
        <w:shd w:fill="F3F3F3" w:val="clear"/>
        <w:spacing w:after="0" w:line="240"/>
        <w:ind w:left="360"/>
      </w:pPr>
      <w:r>
        <w:rPr>
          <w:rFonts w:ascii="Consolas" w:cs="Consolas" w:eastAsia="Consolas" w:hAnsi="Consolas"/>
          <w:sz w:val="18"/>
          <w:szCs w:val="18"/>
        </w:rPr>
        <w:t xml:space="preserve">kind: external</w:t>
      </w:r>
    </w:p>
    <w:p>
      <w:pPr>
        <w:shd w:fill="F3F3F3" w:val="clear"/>
        <w:spacing w:after="0" w:line="240"/>
        <w:ind w:left="360"/>
      </w:pPr>
      <w:r>
        <w:rPr>
          <w:rFonts w:ascii="Consolas" w:cs="Consolas" w:eastAsia="Consolas" w:hAnsi="Consolas"/>
          <w:sz w:val="18"/>
          <w:szCs w:val="18"/>
        </w:rPr>
        <w:t xml:space="preserve">task_family: rag</w:t>
      </w:r>
    </w:p>
    <w:p>
      <w:pPr>
        <w:shd w:fill="F3F3F3" w:val="clear"/>
        <w:spacing w:after="0" w:line="240"/>
        <w:ind w:left="360"/>
      </w:pPr>
      <w:r>
        <w:rPr>
          <w:rFonts w:ascii="Consolas" w:cs="Consolas" w:eastAsia="Consolas" w:hAnsi="Consolas"/>
          <w:sz w:val="18"/>
          <w:szCs w:val="18"/>
        </w:rPr>
        <w:t xml:space="preserve">loader: jsonl</w:t>
      </w:r>
    </w:p>
    <w:p>
      <w:pPr>
        <w:shd w:fill="F3F3F3" w:val="clear"/>
        <w:spacing w:after="0" w:line="240"/>
        <w:ind w:left="360"/>
      </w:pPr>
      <w:r>
        <w:rPr>
          <w:rFonts w:ascii="Consolas" w:cs="Consolas" w:eastAsia="Consolas" w:hAnsi="Consolas"/>
          <w:sz w:val="18"/>
          <w:szCs w:val="18"/>
        </w:rPr>
        <w:t xml:space="preserve">location: data/external/frames.jsonl</w:t>
      </w:r>
    </w:p>
    <w:p>
      <w:pPr>
        <w:shd w:fill="F3F3F3" w:val="clear"/>
        <w:spacing w:after="0" w:line="240"/>
        <w:ind w:left="360"/>
      </w:pPr>
      <w:r>
        <w:rPr>
          <w:rFonts w:ascii="Consolas" w:cs="Consolas" w:eastAsia="Consolas" w:hAnsi="Consolas"/>
          <w:sz w:val="18"/>
          <w:szCs w:val="18"/>
        </w:rPr>
        <w:t xml:space="preserve">max_items: 500</w:t>
      </w:r>
    </w:p>
    <w:p>
      <w:pPr>
        <w:shd w:fill="F3F3F3" w:val="clear"/>
        <w:spacing w:after="0" w:line="240"/>
        <w:ind w:left="360"/>
      </w:pPr>
      <w:r>
        <w:rPr>
          <w:rFonts w:ascii="Consolas" w:cs="Consolas" w:eastAsia="Consolas" w:hAnsi="Consolas"/>
          <w:sz w:val="18"/>
          <w:szCs w:val="18"/>
        </w:rPr>
        <w:t xml:space="preserve">field_map: {question: Prompt, context: wiki_context, gold: Answer}</w:t>
      </w:r>
    </w:p>
    <w:p>
      <w:pPr>
        <w:shd w:fill="F3F3F3" w:val="clear"/>
        <w:spacing w:after="0" w:line="240"/>
        <w:ind w:left="360"/>
      </w:pPr>
      <w:r>
        <w:rPr>
          <w:rFonts w:ascii="Consolas" w:cs="Consolas" w:eastAsia="Consolas" w:hAnsi="Consolas"/>
          <w:sz w:val="18"/>
          <w:szCs w:val="18"/>
        </w:rPr>
        <w:t xml:space="preserve">license: "Apache 2.0 (verify)"</w:t>
      </w:r>
    </w:p>
    <w:p>
      <w:pPr>
        <w:shd w:fill="F3F3F3" w:val="clear"/>
        <w:spacing w:after="0" w:line="240"/>
        <w:ind w:left="360"/>
      </w:pPr>
      <w:r>
        <w:rPr>
          <w:rFonts w:ascii="Consolas" w:cs="Consolas" w:eastAsia="Consolas" w:hAnsi="Consolas"/>
          <w:sz w:val="18"/>
          <w:szCs w:val="18"/>
        </w:rPr>
        <w:t xml:space="preserve">checksum: "&lt;sha256 of the file&gt;"</w:t>
      </w:r>
    </w:p>
    <w:p>
      <w:pPr>
        <w:shd w:fill="F3F3F3" w:val="clear"/>
        <w:spacing w:after="0" w:line="240"/>
        <w:ind w:left="360"/>
      </w:pPr>
      <w:r>
        <w:rPr>
          <w:rFonts w:ascii="Consolas" w:cs="Consolas" w:eastAsia="Consolas" w:hAnsi="Consolas"/>
          <w:sz w:val="18"/>
          <w:szCs w:val="18"/>
        </w:rPr>
        <w:t xml:space="preserve">notes: "Multi-hop RAG anchor. Added by &lt;owner&gt;, 2026-07."</w:t>
      </w:r>
    </w:p>
    <w:p>
      <w:pPr>
        <w:spacing w:after="160"/>
      </w:pPr>
    </w:p>
    <w:p>
      <w:pPr>
        <w:spacing w:after="160" w:line="276"/>
        <w:jc w:val="both"/>
      </w:pPr>
      <w:r>
        <w:rPr>
          <w:rFonts w:ascii="Calibri" w:cs="Calibri" w:eastAsia="Calibri" w:hAnsi="Calibri"/>
          <w:sz w:val="22"/>
          <w:szCs w:val="22"/>
        </w:rPr>
        <w:t xml:space="preserve">field_map renames the source's columns to the harness's expected fields so prompt templates written once ({question}, {context}, {gold}) work across benchmarks. checksum freezes the file; the registry verifies it so nobody silently edits a registered test set.</w:t>
      </w:r>
    </w:p>
    <w:p>
      <w:pPr>
        <w:pStyle w:val="Heading2"/>
        <w:spacing w:after="160" w:before="280"/>
      </w:pPr>
      <w:r>
        <w:rPr>
          <w:rFonts w:ascii="Cambria" w:cs="Cambria" w:eastAsia="Cambria" w:hAnsi="Cambria"/>
          <w:color w:val="1F3864"/>
          <w:sz w:val="26"/>
          <w:szCs w:val="26"/>
        </w:rPr>
        <w:t xml:space="preserve">3.2 Hugging Face loader</w:t>
      </w:r>
    </w:p>
    <w:p>
      <w:pPr>
        <w:shd w:fill="F3F3F3" w:val="clear"/>
        <w:spacing w:after="0" w:line="240"/>
        <w:ind w:left="360"/>
      </w:pPr>
      <w:r>
        <w:rPr>
          <w:rFonts w:ascii="Consolas" w:cs="Consolas" w:eastAsia="Consolas" w:hAnsi="Consolas"/>
          <w:sz w:val="18"/>
          <w:szCs w:val="18"/>
        </w:rPr>
        <w:t xml:space="preserve">id: banking77</w:t>
      </w:r>
    </w:p>
    <w:p>
      <w:pPr>
        <w:shd w:fill="F3F3F3" w:val="clear"/>
        <w:spacing w:after="0" w:line="240"/>
        <w:ind w:left="360"/>
      </w:pPr>
      <w:r>
        <w:rPr>
          <w:rFonts w:ascii="Consolas" w:cs="Consolas" w:eastAsia="Consolas" w:hAnsi="Consolas"/>
          <w:sz w:val="18"/>
          <w:szCs w:val="18"/>
        </w:rPr>
        <w:t xml:space="preserve">kind: external</w:t>
      </w:r>
    </w:p>
    <w:p>
      <w:pPr>
        <w:shd w:fill="F3F3F3" w:val="clear"/>
        <w:spacing w:after="0" w:line="240"/>
        <w:ind w:left="360"/>
      </w:pPr>
      <w:r>
        <w:rPr>
          <w:rFonts w:ascii="Consolas" w:cs="Consolas" w:eastAsia="Consolas" w:hAnsi="Consolas"/>
          <w:sz w:val="18"/>
          <w:szCs w:val="18"/>
        </w:rPr>
        <w:t xml:space="preserve">task_family: classification</w:t>
      </w:r>
    </w:p>
    <w:p>
      <w:pPr>
        <w:shd w:fill="F3F3F3" w:val="clear"/>
        <w:spacing w:after="0" w:line="240"/>
        <w:ind w:left="360"/>
      </w:pPr>
      <w:r>
        <w:rPr>
          <w:rFonts w:ascii="Consolas" w:cs="Consolas" w:eastAsia="Consolas" w:hAnsi="Consolas"/>
          <w:sz w:val="18"/>
          <w:szCs w:val="18"/>
        </w:rPr>
        <w:t xml:space="preserve">loader: hf</w:t>
      </w:r>
    </w:p>
    <w:p>
      <w:pPr>
        <w:shd w:fill="F3F3F3" w:val="clear"/>
        <w:spacing w:after="0" w:line="240"/>
        <w:ind w:left="360"/>
      </w:pPr>
      <w:r>
        <w:rPr>
          <w:rFonts w:ascii="Consolas" w:cs="Consolas" w:eastAsia="Consolas" w:hAnsi="Consolas"/>
          <w:sz w:val="18"/>
          <w:szCs w:val="18"/>
        </w:rPr>
        <w:t xml:space="preserve">location: PolyAI/banking77</w:t>
      </w:r>
    </w:p>
    <w:p>
      <w:pPr>
        <w:shd w:fill="F3F3F3" w:val="clear"/>
        <w:spacing w:after="0" w:line="240"/>
        <w:ind w:left="360"/>
      </w:pPr>
      <w:r>
        <w:rPr>
          <w:rFonts w:ascii="Consolas" w:cs="Consolas" w:eastAsia="Consolas" w:hAnsi="Consolas"/>
          <w:sz w:val="18"/>
          <w:szCs w:val="18"/>
        </w:rPr>
        <w:t xml:space="preserve">split: test</w:t>
      </w:r>
    </w:p>
    <w:p>
      <w:pPr>
        <w:shd w:fill="F3F3F3" w:val="clear"/>
        <w:spacing w:after="0" w:line="240"/>
        <w:ind w:left="360"/>
      </w:pPr>
      <w:r>
        <w:rPr>
          <w:rFonts w:ascii="Consolas" w:cs="Consolas" w:eastAsia="Consolas" w:hAnsi="Consolas"/>
          <w:sz w:val="18"/>
          <w:szCs w:val="18"/>
        </w:rPr>
        <w:t xml:space="preserve">max_items: 500</w:t>
      </w:r>
    </w:p>
    <w:p>
      <w:pPr>
        <w:shd w:fill="F3F3F3" w:val="clear"/>
        <w:spacing w:after="0" w:line="240"/>
        <w:ind w:left="360"/>
      </w:pPr>
      <w:r>
        <w:rPr>
          <w:rFonts w:ascii="Consolas" w:cs="Consolas" w:eastAsia="Consolas" w:hAnsi="Consolas"/>
          <w:sz w:val="18"/>
          <w:szCs w:val="18"/>
        </w:rPr>
        <w:t xml:space="preserve">field_map: {text: text, gold: label}</w:t>
      </w:r>
    </w:p>
    <w:p>
      <w:pPr>
        <w:shd w:fill="F3F3F3" w:val="clear"/>
        <w:spacing w:after="0" w:line="240"/>
        <w:ind w:left="360"/>
      </w:pPr>
      <w:r>
        <w:rPr>
          <w:rFonts w:ascii="Consolas" w:cs="Consolas" w:eastAsia="Consolas" w:hAnsi="Consolas"/>
          <w:sz w:val="18"/>
          <w:szCs w:val="18"/>
        </w:rPr>
        <w:t xml:space="preserve">label_set: [...]   # required for classification parsing</w:t>
      </w:r>
    </w:p>
    <w:p>
      <w:pPr>
        <w:spacing w:after="160"/>
      </w:pPr>
    </w:p>
    <w:p>
      <w:pPr>
        <w:spacing w:after="160" w:line="276"/>
        <w:jc w:val="both"/>
      </w:pPr>
      <w:r>
        <w:rPr>
          <w:rFonts w:ascii="Calibri" w:cs="Calibri" w:eastAsia="Calibri" w:hAnsi="Calibri"/>
          <w:sz w:val="22"/>
          <w:szCs w:val="22"/>
        </w:rPr>
        <w:t xml:space="preserve">Requires pip install datasets and hub access. For air-gapped environments, snapshot the dataset to JSONL once and register it file-based with a checksum, which is also the better practice for reproducibility.</w:t>
      </w:r>
    </w:p>
    <w:p>
      <w:pPr>
        <w:pStyle w:val="Heading2"/>
        <w:spacing w:after="160" w:before="280"/>
      </w:pPr>
      <w:r>
        <w:rPr>
          <w:rFonts w:ascii="Cambria" w:cs="Cambria" w:eastAsia="Cambria" w:hAnsi="Cambria"/>
          <w:color w:val="1F3864"/>
          <w:sz w:val="26"/>
          <w:szCs w:val="26"/>
        </w:rPr>
        <w:t xml:space="preserve">3.3 Wiring it into a suite</w:t>
      </w:r>
    </w:p>
    <w:p>
      <w:pPr>
        <w:spacing w:after="160" w:line="276"/>
        <w:jc w:val="both"/>
      </w:pPr>
      <w:r>
        <w:rPr>
          <w:rFonts w:ascii="Calibri" w:cs="Calibri" w:eastAsia="Calibri" w:hAnsi="Calibri"/>
          <w:sz w:val="22"/>
          <w:szCs w:val="22"/>
        </w:rPr>
        <w:t xml:space="preserve">Add a condition block to the relevant suite YAML referencing the dataset id. Nothing else changes: metrics, decoding, and grading come from the condition and family configuration. Bump the suite version whenever conditions change, because profiles are comparable only within a suite version.</w:t>
      </w:r>
    </w:p>
    <w:p>
      <w:pPr>
        <w:pStyle w:val="Heading1"/>
        <w:spacing w:after="200" w:before="360"/>
      </w:pPr>
      <w:r>
        <w:rPr>
          <w:rFonts w:ascii="Cambria" w:cs="Cambria" w:eastAsia="Cambria" w:hAnsi="Cambria"/>
          <w:color w:val="1F3864"/>
          <w:sz w:val="32"/>
          <w:szCs w:val="32"/>
        </w:rPr>
        <w:t xml:space="preserve">4. Registering a New Internal Dataset</w:t>
      </w:r>
    </w:p>
    <w:p>
      <w:pPr>
        <w:spacing w:after="160" w:line="276"/>
        <w:jc w:val="both"/>
      </w:pPr>
      <w:r>
        <w:rPr>
          <w:rFonts w:ascii="Calibri" w:cs="Calibri" w:eastAsia="Calibri" w:hAnsi="Calibri"/>
          <w:sz w:val="22"/>
          <w:szCs w:val="22"/>
        </w:rPr>
        <w:t xml:space="preserve">Identical mechanics with kind internal, plus the governance obligations from the playbook: a named owner, a labeling guide, dual annotation with adjudication for gold subsets, PII handling sign-off, a frozen test split, and a checksum. Internal data files must live in approved storage; the YAML location field can point at a mounted path. Keep prompt-engineering and few-shot example pools physically separate from the frozen test split so the split never leaks into prompt development.</w:t>
      </w:r>
    </w:p>
    <w:p>
      <w:pPr>
        <w:spacing w:after="160" w:line="276"/>
        <w:jc w:val="both"/>
      </w:pPr>
      <w:r>
        <w:rPr>
          <w:rFonts w:ascii="Calibri" w:cs="Calibri" w:eastAsia="Calibri" w:hAnsi="Calibri"/>
          <w:sz w:val="22"/>
          <w:szCs w:val="22"/>
        </w:rPr>
        <w:t xml:space="preserve">Field conventions the engine understands: item_id (auto-assigned if absent), gold (reference answer or label), and optional flags consumed by metrics: answer_absent (abstention items), canary (injection probes), confidence (calibration), context and question (judge fields), critical_facts (summarization fact recall).</w:t>
      </w:r>
    </w:p>
    <w:p>
      <w:pPr>
        <w:pStyle w:val="Heading1"/>
        <w:spacing w:after="200" w:before="360"/>
      </w:pPr>
      <w:r>
        <w:rPr>
          <w:rFonts w:ascii="Cambria" w:cs="Cambria" w:eastAsia="Cambria" w:hAnsi="Cambria"/>
          <w:color w:val="1F3864"/>
          <w:sz w:val="32"/>
          <w:szCs w:val="32"/>
        </w:rPr>
        <w:t xml:space="preserve">5. Suites, Conditions, and Metrics</w:t>
      </w:r>
    </w:p>
    <w:p>
      <w:pPr>
        <w:pStyle w:val="Heading2"/>
        <w:spacing w:after="160" w:before="280"/>
      </w:pPr>
      <w:r>
        <w:rPr>
          <w:rFonts w:ascii="Cambria" w:cs="Cambria" w:eastAsia="Cambria" w:hAnsi="Cambria"/>
          <w:color w:val="1F3864"/>
          <w:sz w:val="26"/>
          <w:szCs w:val="26"/>
        </w:rPr>
        <w:t xml:space="preserve">5.1 Anatomy of a condition</w:t>
      </w:r>
    </w:p>
    <w:p>
      <w:pPr>
        <w:shd w:fill="F3F3F3" w:val="clear"/>
        <w:spacing w:after="0" w:line="240"/>
        <w:ind w:left="360"/>
      </w:pPr>
      <w:r>
        <w:rPr>
          <w:rFonts w:ascii="Consolas" w:cs="Consolas" w:eastAsia="Consolas" w:hAnsi="Consolas"/>
          <w:sz w:val="18"/>
          <w:szCs w:val="18"/>
        </w:rPr>
        <w:t xml:space="preserve">- name: intent_utterance_zeroshot</w:t>
      </w:r>
    </w:p>
    <w:p>
      <w:pPr>
        <w:shd w:fill="F3F3F3" w:val="clear"/>
        <w:spacing w:after="0" w:line="240"/>
        <w:ind w:left="360"/>
      </w:pPr>
      <w:r>
        <w:rPr>
          <w:rFonts w:ascii="Consolas" w:cs="Consolas" w:eastAsia="Consolas" w:hAnsi="Consolas"/>
          <w:sz w:val="18"/>
          <w:szCs w:val="18"/>
        </w:rPr>
        <w:t xml:space="preserve">  dataset: cls-int-01-sample</w:t>
      </w:r>
    </w:p>
    <w:p>
      <w:pPr>
        <w:shd w:fill="F3F3F3" w:val="clear"/>
        <w:spacing w:after="0" w:line="240"/>
        <w:ind w:left="360"/>
      </w:pPr>
      <w:r>
        <w:rPr>
          <w:rFonts w:ascii="Consolas" w:cs="Consolas" w:eastAsia="Consolas" w:hAnsi="Consolas"/>
          <w:sz w:val="18"/>
          <w:szCs w:val="18"/>
        </w:rPr>
        <w:t xml:space="preserve">  system_template: "You are an intent classifier for a bank contact center."</w:t>
      </w:r>
    </w:p>
    <w:p>
      <w:pPr>
        <w:shd w:fill="F3F3F3" w:val="clear"/>
        <w:spacing w:after="0" w:line="240"/>
        <w:ind w:left="360"/>
      </w:pPr>
      <w:r>
        <w:rPr>
          <w:rFonts w:ascii="Consolas" w:cs="Consolas" w:eastAsia="Consolas" w:hAnsi="Consolas"/>
          <w:sz w:val="18"/>
          <w:szCs w:val="18"/>
        </w:rPr>
        <w:t xml:space="preserve">  prompt_template: |</w:t>
      </w:r>
    </w:p>
    <w:p>
      <w:pPr>
        <w:shd w:fill="F3F3F3" w:val="clear"/>
        <w:spacing w:after="0" w:line="240"/>
        <w:ind w:left="360"/>
      </w:pPr>
      <w:r>
        <w:rPr>
          <w:rFonts w:ascii="Consolas" w:cs="Consolas" w:eastAsia="Consolas" w:hAnsi="Consolas"/>
          <w:sz w:val="18"/>
          <w:szCs w:val="18"/>
        </w:rPr>
        <w:t xml:space="preserve">    Classify the customer utterance into exactly one intent from this list:</w:t>
      </w:r>
    </w:p>
    <w:p>
      <w:pPr>
        <w:shd w:fill="F3F3F3" w:val="clear"/>
        <w:spacing w:after="0" w:line="240"/>
        <w:ind w:left="360"/>
      </w:pPr>
      <w:r>
        <w:rPr>
          <w:rFonts w:ascii="Consolas" w:cs="Consolas" w:eastAsia="Consolas" w:hAnsi="Consolas"/>
          <w:sz w:val="18"/>
          <w:szCs w:val="18"/>
        </w:rPr>
        <w:t xml:space="preserve">    {label_list}</w:t>
      </w:r>
    </w:p>
    <w:p>
      <w:pPr>
        <w:shd w:fill="F3F3F3" w:val="clear"/>
        <w:spacing w:after="0" w:line="240"/>
        <w:ind w:left="360"/>
      </w:pPr>
      <w:r>
        <w:rPr>
          <w:rFonts w:ascii="Consolas" w:cs="Consolas" w:eastAsia="Consolas" w:hAnsi="Consolas"/>
          <w:sz w:val="18"/>
          <w:szCs w:val="18"/>
        </w:rPr>
        <w:t xml:space="preserve">    Utterance: {text}</w:t>
      </w:r>
    </w:p>
    <w:p>
      <w:pPr>
        <w:shd w:fill="F3F3F3" w:val="clear"/>
        <w:spacing w:after="0" w:line="240"/>
        <w:ind w:left="360"/>
      </w:pPr>
      <w:r>
        <w:rPr>
          <w:rFonts w:ascii="Consolas" w:cs="Consolas" w:eastAsia="Consolas" w:hAnsi="Consolas"/>
          <w:sz w:val="18"/>
          <w:szCs w:val="18"/>
        </w:rPr>
        <w:t xml:space="preserve">    Reply with only the intent label.</w:t>
      </w:r>
    </w:p>
    <w:p>
      <w:pPr>
        <w:shd w:fill="F3F3F3" w:val="clear"/>
        <w:spacing w:after="0" w:line="240"/>
        <w:ind w:left="360"/>
      </w:pPr>
      <w:r>
        <w:rPr>
          <w:rFonts w:ascii="Consolas" w:cs="Consolas" w:eastAsia="Consolas" w:hAnsi="Consolas"/>
          <w:sz w:val="18"/>
          <w:szCs w:val="18"/>
        </w:rPr>
        <w:t xml:space="preserve">  parser: label            # text | label | json | number</w:t>
      </w:r>
    </w:p>
    <w:p>
      <w:pPr>
        <w:shd w:fill="F3F3F3" w:val="clear"/>
        <w:spacing w:after="0" w:line="240"/>
        <w:ind w:left="360"/>
      </w:pPr>
      <w:r>
        <w:rPr>
          <w:rFonts w:ascii="Consolas" w:cs="Consolas" w:eastAsia="Consolas" w:hAnsi="Consolas"/>
          <w:sz w:val="18"/>
          <w:szCs w:val="18"/>
        </w:rPr>
        <w:t xml:space="preserve">  metrics: [accuracy, macro_f1, invalid_label_rate]</w:t>
      </w:r>
    </w:p>
    <w:p>
      <w:pPr>
        <w:shd w:fill="F3F3F3" w:val="clear"/>
        <w:spacing w:after="0" w:line="240"/>
        <w:ind w:left="360"/>
      </w:pPr>
      <w:r>
        <w:rPr>
          <w:rFonts w:ascii="Consolas" w:cs="Consolas" w:eastAsia="Consolas" w:hAnsi="Consolas"/>
          <w:sz w:val="18"/>
          <w:szCs w:val="18"/>
        </w:rPr>
        <w:t xml:space="preserve">  judge_metrics: []        # correctness | faithfulness | fact_recall</w:t>
      </w:r>
    </w:p>
    <w:p>
      <w:pPr>
        <w:shd w:fill="F3F3F3" w:val="clear"/>
        <w:spacing w:after="0" w:line="240"/>
        <w:ind w:left="360"/>
      </w:pPr>
      <w:r>
        <w:rPr>
          <w:rFonts w:ascii="Consolas" w:cs="Consolas" w:eastAsia="Consolas" w:hAnsi="Consolas"/>
          <w:sz w:val="18"/>
          <w:szCs w:val="18"/>
        </w:rPr>
        <w:t xml:space="preserve">  decoding: [D0, D1]       # names from config/decoding.yaml</w:t>
      </w:r>
    </w:p>
    <w:p>
      <w:pPr>
        <w:shd w:fill="F3F3F3" w:val="clear"/>
        <w:spacing w:after="0" w:line="240"/>
        <w:ind w:left="360"/>
      </w:pPr>
      <w:r>
        <w:rPr>
          <w:rFonts w:ascii="Consolas" w:cs="Consolas" w:eastAsia="Consolas" w:hAnsi="Consolas"/>
          <w:sz w:val="18"/>
          <w:szCs w:val="18"/>
        </w:rPr>
        <w:t xml:space="preserve">  repeats: 3               # feeds run_variance and pass^k</w:t>
      </w:r>
    </w:p>
    <w:p>
      <w:pPr>
        <w:shd w:fill="F3F3F3" w:val="clear"/>
        <w:spacing w:after="0" w:line="240"/>
        <w:ind w:left="360"/>
      </w:pPr>
      <w:r>
        <w:rPr>
          <w:rFonts w:ascii="Consolas" w:cs="Consolas" w:eastAsia="Consolas" w:hAnsi="Consolas"/>
          <w:sz w:val="18"/>
          <w:szCs w:val="18"/>
        </w:rPr>
        <w:t xml:space="preserve">  critical_probe: false</w:t>
      </w:r>
    </w:p>
    <w:p>
      <w:pPr>
        <w:spacing w:after="160"/>
      </w:pPr>
    </w:p>
    <w:p>
      <w:pPr>
        <w:spacing w:after="160" w:line="276"/>
        <w:jc w:val="both"/>
      </w:pPr>
      <w:r>
        <w:rPr>
          <w:rFonts w:ascii="Calibri" w:cs="Calibri" w:eastAsia="Calibri" w:hAnsi="Calibri"/>
          <w:sz w:val="22"/>
          <w:szCs w:val="22"/>
        </w:rPr>
        <w:t xml:space="preserve">Templates use {field} placeholders resolved from the dataset row; unknown placeholders pass through unchanged so a template failure is visible in logs rather than silent. The parser determines correctness scoring: label matches against the dataset's label_set (invalid outputs are tracked, not silently dropped), number extracts the final numeric value, json parses fenced or embedded JSON, text compares stripped strings and is also the mode for judge-scored generation.</w:t>
      </w:r>
    </w:p>
    <w:p>
      <w:pPr>
        <w:pStyle w:val="Heading2"/>
        <w:spacing w:after="160" w:before="280"/>
      </w:pPr>
      <w:r>
        <w:rPr>
          <w:rFonts w:ascii="Cambria" w:cs="Cambria" w:eastAsia="Cambria" w:hAnsi="Cambria"/>
          <w:color w:val="1F3864"/>
          <w:sz w:val="26"/>
          <w:szCs w:val="26"/>
        </w:rPr>
        <w:t xml:space="preserve">5.2 Adding a metric</w:t>
      </w:r>
    </w:p>
    <w:p>
      <w:pPr>
        <w:spacing w:after="160" w:line="276"/>
        <w:jc w:val="both"/>
      </w:pPr>
      <w:r>
        <w:rPr>
          <w:rFonts w:ascii="Calibri" w:cs="Calibri" w:eastAsia="Calibri" w:hAnsi="Calibri"/>
          <w:sz w:val="22"/>
          <w:szCs w:val="22"/>
        </w:rPr>
        <w:t xml:space="preserve">Write one function over the item-record list in fm_harness/metrics/registry.py, decorate it with @register("name"), and reference the name from any suite YAML. Records carry parsed output, gold, correctness, token counts, latency, cost, judge scores, and the extra flags, so most metrics are ten lines. Ops metrics (latency_p95, cost_per_100, error_rate, run_variance) are computed for every condition automatically.</w:t>
      </w:r>
    </w:p>
    <w:p>
      <w:pPr>
        <w:pStyle w:val="Heading2"/>
        <w:spacing w:after="160" w:before="280"/>
      </w:pPr>
      <w:r>
        <w:rPr>
          <w:rFonts w:ascii="Cambria" w:cs="Cambria" w:eastAsia="Cambria" w:hAnsi="Cambria"/>
          <w:color w:val="1F3864"/>
          <w:sz w:val="26"/>
          <w:szCs w:val="26"/>
        </w:rPr>
        <w:t xml:space="preserve">5.3 Judge configuration</w:t>
      </w:r>
    </w:p>
    <w:p>
      <w:pPr>
        <w:spacing w:after="160" w:line="276"/>
        <w:jc w:val="both"/>
      </w:pPr>
      <w:r>
        <w:rPr>
          <w:rFonts w:ascii="Calibri" w:cs="Calibri" w:eastAsia="Calibri" w:hAnsi="Calibri"/>
          <w:sz w:val="22"/>
          <w:szCs w:val="22"/>
        </w:rPr>
        <w:t xml:space="preserve">config/judge.yaml pins the judge model (a registered model config name) and rubric version. Rubrics live in code with config override. Judge discipline: never judge a model with itself; prefer a cross-family judge; validate any judge or rubric change against the human-adjudicated calibration set before use, and treat a judge change like a suite version change for comparability.</w:t>
      </w:r>
    </w:p>
    <w:p>
      <w:pPr>
        <w:pStyle w:val="Heading2"/>
        <w:spacing w:after="160" w:before="280"/>
      </w:pPr>
      <w:r>
        <w:rPr>
          <w:rFonts w:ascii="Cambria" w:cs="Cambria" w:eastAsia="Cambria" w:hAnsi="Cambria"/>
          <w:color w:val="1F3864"/>
          <w:sz w:val="26"/>
          <w:szCs w:val="26"/>
        </w:rPr>
        <w:t xml:space="preserve">5.4 Grading and critical probes</w:t>
      </w:r>
    </w:p>
    <w:p>
      <w:pPr>
        <w:spacing w:after="160" w:line="276"/>
        <w:jc w:val="both"/>
      </w:pPr>
      <w:r>
        <w:rPr>
          <w:rFonts w:ascii="Calibri" w:cs="Calibri" w:eastAsia="Calibri" w:hAnsi="Calibri"/>
          <w:sz w:val="22"/>
          <w:szCs w:val="22"/>
        </w:rPr>
        <w:t xml:space="preserve">config/grading.yaml holds, per family, the primary metric, A/B/C thresholds (D is below C, F is gated), and critical probes: condition-level constraints that force grade F when violated, for example nonzero injection_compliance_rate in the RAG injection condition or any ungated irreversible action in the agentic suite. Gate hits automatically become Critical entries in the drafted limitation candidates. Threshold changes are a governance decision; version the file and record the rationale in the change log.</w:t>
      </w:r>
    </w:p>
    <w:p>
      <w:pPr>
        <w:pStyle w:val="Heading1"/>
        <w:spacing w:after="200" w:before="360"/>
      </w:pPr>
      <w:r>
        <w:rPr>
          <w:rFonts w:ascii="Cambria" w:cs="Cambria" w:eastAsia="Cambria" w:hAnsi="Cambria"/>
          <w:color w:val="1F3864"/>
          <w:sz w:val="32"/>
          <w:szCs w:val="32"/>
        </w:rPr>
        <w:t xml:space="preserve">6. Agentic Suites and the Sandbox</w:t>
      </w:r>
    </w:p>
    <w:p>
      <w:pPr>
        <w:spacing w:after="160" w:line="276"/>
        <w:jc w:val="both"/>
      </w:pPr>
      <w:r>
        <w:rPr>
          <w:rFonts w:ascii="Calibri" w:cs="Calibri" w:eastAsia="Calibri" w:hAnsi="Calibri"/>
          <w:sz w:val="22"/>
          <w:szCs w:val="22"/>
        </w:rPr>
        <w:t xml:space="preserve">Agentic suites run episodes, not single calls: the engine in fm_harness/suites/agentic.py loops model, tool call, sandbox result until a final answer or the step cap. The deterministic sandbox in fm_harness/sandbox/tools.py exposes five banking tools (account lookup, transactions, knowledge search, case creation, and an irreversible confirmation send) plus two probe mechanisms: error_injection makes named tools fail once to test recovery, and inject_canary_in plants adversarial instructions in a tool result to test injection compliance. Scenario rows declare the task, the expected first tool and arguments, and a success check. Repeats feed pass^k, the reliability statistic used for grading the multi-turn agentic family. Extend the sandbox by adding a ToolSpec and a branch in execute(); keep it deterministic so episodes are reproducible.</w:t>
      </w:r>
    </w:p>
    <w:p>
      <w:pPr>
        <w:pStyle w:val="Heading1"/>
        <w:spacing w:after="200" w:before="360"/>
      </w:pPr>
      <w:r>
        <w:rPr>
          <w:rFonts w:ascii="Cambria" w:cs="Cambria" w:eastAsia="Cambria" w:hAnsi="Cambria"/>
          <w:color w:val="1F3864"/>
          <w:sz w:val="32"/>
          <w:szCs w:val="32"/>
        </w:rPr>
        <w:t xml:space="preserve">7. Outputs, Logs, and Registry Integration</w:t>
      </w:r>
    </w:p>
    <w:p>
      <w:pPr>
        <w:pStyle w:val="ListParagraph"/>
        <w:numPr>
          <w:ilvl w:val="0"/>
          <w:numId w:val="2"/>
        </w:numPr>
        <w:spacing w:after="80" w:line="264"/>
      </w:pPr>
      <w:r>
        <w:rPr>
          <w:rFonts w:ascii="Calibri" w:cs="Calibri" w:eastAsia="Calibri" w:hAnsi="Calibri"/>
          <w:sz w:val="22"/>
          <w:szCs w:val="22"/>
        </w:rPr>
        <w:t xml:space="preserve">runs/&lt;run_id&gt;/calls.jsonl: every model call with inputs hash context, parsed output, correctness, tokens, latency, cost. This is the audit evidence trail.</w:t>
      </w:r>
    </w:p>
    <w:p>
      <w:pPr>
        <w:pStyle w:val="ListParagraph"/>
        <w:numPr>
          <w:ilvl w:val="0"/>
          <w:numId w:val="2"/>
        </w:numPr>
        <w:spacing w:after="80" w:line="264"/>
      </w:pPr>
      <w:r>
        <w:rPr>
          <w:rFonts w:ascii="Calibri" w:cs="Calibri" w:eastAsia="Calibri" w:hAnsi="Calibri"/>
          <w:sz w:val="22"/>
          <w:szCs w:val="22"/>
        </w:rPr>
        <w:t xml:space="preserve">runs/&lt;run_id&gt;/manifest.json: model, suite, suite version, call count, spend.</w:t>
      </w:r>
    </w:p>
    <w:p>
      <w:pPr>
        <w:pStyle w:val="ListParagraph"/>
        <w:numPr>
          <w:ilvl w:val="0"/>
          <w:numId w:val="2"/>
        </w:numPr>
        <w:spacing w:after="80" w:line="264"/>
      </w:pPr>
      <w:r>
        <w:rPr>
          <w:rFonts w:ascii="Calibri" w:cs="Calibri" w:eastAsia="Calibri" w:hAnsi="Calibri"/>
          <w:sz w:val="22"/>
          <w:szCs w:val="22"/>
        </w:rPr>
        <w:t xml:space="preserve">runs/_cache/: response cache keyed on model, suite version, condition, item, decoding, repeat. Delete selectively to force reruns; keep it to resume.</w:t>
      </w:r>
    </w:p>
    <w:p>
      <w:pPr>
        <w:pStyle w:val="ListParagraph"/>
        <w:numPr>
          <w:ilvl w:val="0"/>
          <w:numId w:val="2"/>
        </w:numPr>
        <w:spacing w:after="80" w:line="264"/>
      </w:pPr>
      <w:r>
        <w:rPr>
          <w:rFonts w:ascii="Calibri" w:cs="Calibri" w:eastAsia="Calibri" w:hAnsi="Calibri"/>
          <w:sz w:val="22"/>
          <w:szCs w:val="22"/>
        </w:rPr>
        <w:t xml:space="preserve">profiles/&lt;model&gt;/&lt;suite&gt;.json and .md: the draft profile per family with grade, condition metrics, gate violations, and limitation candidates, review_status DRAFT until validator sign-off.</w:t>
      </w:r>
    </w:p>
    <w:p>
      <w:pPr>
        <w:pStyle w:val="ListParagraph"/>
        <w:numPr>
          <w:ilvl w:val="0"/>
          <w:numId w:val="2"/>
        </w:numPr>
        <w:spacing w:after="80" w:line="264"/>
      </w:pPr>
      <w:r>
        <w:rPr>
          <w:rFonts w:ascii="Calibri" w:cs="Calibri" w:eastAsia="Calibri" w:hAnsi="Calibri"/>
          <w:sz w:val="22"/>
          <w:szCs w:val="22"/>
        </w:rPr>
        <w:t xml:space="preserve">profiles/compare_&lt;suite&gt;.md: cross-model comparison table.</w:t>
      </w:r>
    </w:p>
    <w:p>
      <w:pPr>
        <w:spacing w:after="160" w:line="276"/>
        <w:jc w:val="both"/>
      </w:pPr>
      <w:r>
        <w:rPr>
          <w:rFonts w:ascii="Calibri" w:cs="Calibri" w:eastAsia="Calibri" w:hAnsi="Calibri"/>
          <w:sz w:val="22"/>
          <w:szCs w:val="22"/>
        </w:rPr>
        <w:t xml:space="preserve">Registry integration consumes the profile JSON: attach it to the FM's component entry, carry the limitation register forward after adjudication, and store the harness commit hash, suite versions, and dataset checksums alongside, which together make any number in the profile reproducible on demand for audit.</w:t>
      </w:r>
    </w:p>
    <w:p>
      <w:pPr>
        <w:pStyle w:val="Heading1"/>
        <w:spacing w:after="200" w:before="360"/>
      </w:pPr>
      <w:r>
        <w:rPr>
          <w:rFonts w:ascii="Cambria" w:cs="Cambria" w:eastAsia="Cambria" w:hAnsi="Cambria"/>
          <w:color w:val="1F3864"/>
          <w:sz w:val="32"/>
          <w:szCs w:val="32"/>
        </w:rPr>
        <w:t xml:space="preserve">8. Operational Practices</w:t>
      </w:r>
    </w:p>
    <w:p>
      <w:pPr>
        <w:pStyle w:val="ListParagraph"/>
        <w:numPr>
          <w:ilvl w:val="0"/>
          <w:numId w:val="2"/>
        </w:numPr>
        <w:spacing w:after="80" w:line="264"/>
      </w:pPr>
      <w:r>
        <w:rPr>
          <w:rFonts w:ascii="Calibri" w:cs="Calibri" w:eastAsia="Calibri" w:hAnsi="Calibri"/>
          <w:sz w:val="22"/>
          <w:szCs w:val="22"/>
        </w:rPr>
        <w:t xml:space="preserve">Cost control: always pass max-usd; start with max_items caps on external benchmarks and lift them for registration runs.</w:t>
      </w:r>
    </w:p>
    <w:p>
      <w:pPr>
        <w:pStyle w:val="ListParagraph"/>
        <w:numPr>
          <w:ilvl w:val="0"/>
          <w:numId w:val="2"/>
        </w:numPr>
        <w:spacing w:after="80" w:line="264"/>
      </w:pPr>
      <w:r>
        <w:rPr>
          <w:rFonts w:ascii="Calibri" w:cs="Calibri" w:eastAsia="Calibri" w:hAnsi="Calibri"/>
          <w:sz w:val="22"/>
          <w:szCs w:val="22"/>
        </w:rPr>
        <w:t xml:space="preserve">Version discipline: bump suite versions on any condition change; profiles compare only within a version; keep config/ under source control and reference the commit in every registration.</w:t>
      </w:r>
    </w:p>
    <w:p>
      <w:pPr>
        <w:pStyle w:val="ListParagraph"/>
        <w:numPr>
          <w:ilvl w:val="0"/>
          <w:numId w:val="2"/>
        </w:numPr>
        <w:spacing w:after="80" w:line="264"/>
      </w:pPr>
      <w:r>
        <w:rPr>
          <w:rFonts w:ascii="Calibri" w:cs="Calibri" w:eastAsia="Calibri" w:hAnsi="Calibri"/>
          <w:sz w:val="22"/>
          <w:szCs w:val="22"/>
        </w:rPr>
        <w:t xml:space="preserve">Sentinel monitoring: schedule a small fast slice (max_items 25, one decoding config) of each suite against production endpoints; alert on deltas beyond run_variance derived tolerance to catch silent vendor drift between revalidations.</w:t>
      </w:r>
    </w:p>
    <w:p>
      <w:pPr>
        <w:pStyle w:val="ListParagraph"/>
        <w:numPr>
          <w:ilvl w:val="0"/>
          <w:numId w:val="2"/>
        </w:numPr>
        <w:spacing w:after="80" w:line="264"/>
      </w:pPr>
      <w:r>
        <w:rPr>
          <w:rFonts w:ascii="Calibri" w:cs="Calibri" w:eastAsia="Calibri" w:hAnsi="Calibri"/>
          <w:sz w:val="22"/>
          <w:szCs w:val="22"/>
        </w:rPr>
        <w:t xml:space="preserve">Contamination checks: for public benchmarks, maintain perturbed variants (paraphrased questions, renamed entities); a large clean-vs-perturbed gap indicates memorization and demotes that benchmark to smoke-test status for that FM.</w:t>
      </w:r>
    </w:p>
    <w:p>
      <w:pPr>
        <w:pStyle w:val="ListParagraph"/>
        <w:numPr>
          <w:ilvl w:val="0"/>
          <w:numId w:val="2"/>
        </w:numPr>
        <w:spacing w:after="80" w:line="264"/>
      </w:pPr>
      <w:r>
        <w:rPr>
          <w:rFonts w:ascii="Calibri" w:cs="Calibri" w:eastAsia="Calibri" w:hAnsi="Calibri"/>
          <w:sz w:val="22"/>
          <w:szCs w:val="22"/>
        </w:rPr>
        <w:t xml:space="preserve">Secrets: credentials only via environment variables named in model YAMLs; never in config files or logs.</w:t>
      </w:r>
    </w:p>
    <w:p>
      <w:pPr>
        <w:pStyle w:val="ListParagraph"/>
        <w:numPr>
          <w:ilvl w:val="0"/>
          <w:numId w:val="2"/>
        </w:numPr>
        <w:spacing w:after="80" w:line="264"/>
      </w:pPr>
      <w:r>
        <w:rPr>
          <w:rFonts w:ascii="Calibri" w:cs="Calibri" w:eastAsia="Calibri" w:hAnsi="Calibri"/>
          <w:sz w:val="22"/>
          <w:szCs w:val="22"/>
        </w:rPr>
        <w:t xml:space="preserve">New family suites: copy an existing suite YAML for generic families; only agentic-style families with environment interaction need engine code. When a new family lands, run it across all registered FMs before any use case relies on it.</w:t>
      </w:r>
    </w:p>
    <w:p>
      <w:pPr>
        <w:pStyle w:val="Heading1"/>
        <w:spacing w:after="200" w:before="360"/>
      </w:pPr>
      <w:r>
        <w:rPr>
          <w:rFonts w:ascii="Cambria" w:cs="Cambria" w:eastAsia="Cambria" w:hAnsi="Cambria"/>
          <w:color w:val="1F3864"/>
          <w:sz w:val="32"/>
          <w:szCs w:val="32"/>
        </w:rPr>
        <w:t xml:space="preserve">Appendix. Command Reference</w:t>
      </w:r>
    </w:p>
    <w:p>
      <w:pPr>
        <w:shd w:fill="F3F3F3" w:val="clear"/>
        <w:spacing w:after="0" w:line="240"/>
        <w:ind w:left="360"/>
      </w:pPr>
      <w:r>
        <w:rPr>
          <w:rFonts w:ascii="Consolas" w:cs="Consolas" w:eastAsia="Consolas" w:hAnsi="Consolas"/>
          <w:sz w:val="18"/>
          <w:szCs w:val="18"/>
        </w:rPr>
        <w:t xml:space="preserve">python -m fm_harness.cli list</w:t>
      </w:r>
    </w:p>
    <w:p>
      <w:pPr>
        <w:shd w:fill="F3F3F3" w:val="clear"/>
        <w:spacing w:after="0" w:line="240"/>
        <w:ind w:left="360"/>
      </w:pPr>
      <w:r>
        <w:rPr>
          <w:rFonts w:ascii="Consolas" w:cs="Consolas" w:eastAsia="Consolas" w:hAnsi="Consolas"/>
          <w:sz w:val="18"/>
          <w:szCs w:val="18"/>
        </w:rPr>
        <w:t xml:space="preserve">    Show registered models, suites, datasets.</w:t>
      </w:r>
    </w:p>
    <w:p>
      <w:pPr>
        <w:shd w:fill="F3F3F3" w:val="clear"/>
        <w:spacing w:after="0" w:line="240"/>
        <w:ind w:left="360"/>
      </w:pPr>
      <w:r>
        <w:rPr>
          <w:rFonts w:ascii="Consolas" w:cs="Consolas" w:eastAsia="Consolas" w:hAnsi="Consolas"/>
          <w:sz w:val="18"/>
          <w:szCs w:val="18"/>
        </w:rPr>
        <w:t xml:space="preserve"> </w:t>
      </w:r>
    </w:p>
    <w:p>
      <w:pPr>
        <w:shd w:fill="F3F3F3" w:val="clear"/>
        <w:spacing w:after="0" w:line="240"/>
        <w:ind w:left="360"/>
      </w:pPr>
      <w:r>
        <w:rPr>
          <w:rFonts w:ascii="Consolas" w:cs="Consolas" w:eastAsia="Consolas" w:hAnsi="Consolas"/>
          <w:sz w:val="18"/>
          <w:szCs w:val="18"/>
        </w:rPr>
        <w:t xml:space="preserve">python -m fm_harness.cli run --model &lt;name&gt; --suite &lt;suite&gt; \</w:t>
      </w:r>
    </w:p>
    <w:p>
      <w:pPr>
        <w:shd w:fill="F3F3F3" w:val="clear"/>
        <w:spacing w:after="0" w:line="240"/>
        <w:ind w:left="360"/>
      </w:pPr>
      <w:r>
        <w:rPr>
          <w:rFonts w:ascii="Consolas" w:cs="Consolas" w:eastAsia="Consolas" w:hAnsi="Consolas"/>
          <w:sz w:val="18"/>
          <w:szCs w:val="18"/>
        </w:rPr>
        <w:t xml:space="preserve">       [--judge] [--workers 8] [--max-usd 50]</w:t>
      </w:r>
    </w:p>
    <w:p>
      <w:pPr>
        <w:shd w:fill="F3F3F3" w:val="clear"/>
        <w:spacing w:after="0" w:line="240"/>
        <w:ind w:left="360"/>
      </w:pPr>
      <w:r>
        <w:rPr>
          <w:rFonts w:ascii="Consolas" w:cs="Consolas" w:eastAsia="Consolas" w:hAnsi="Consolas"/>
          <w:sz w:val="18"/>
          <w:szCs w:val="18"/>
        </w:rPr>
        <w:t xml:space="preserve">    Execute a suite, apply judges, emit the draft profile.</w:t>
      </w:r>
    </w:p>
    <w:p>
      <w:pPr>
        <w:shd w:fill="F3F3F3" w:val="clear"/>
        <w:spacing w:after="0" w:line="240"/>
        <w:ind w:left="360"/>
      </w:pPr>
      <w:r>
        <w:rPr>
          <w:rFonts w:ascii="Consolas" w:cs="Consolas" w:eastAsia="Consolas" w:hAnsi="Consolas"/>
          <w:sz w:val="18"/>
          <w:szCs w:val="18"/>
        </w:rPr>
        <w:t xml:space="preserve"> </w:t>
      </w:r>
    </w:p>
    <w:p>
      <w:pPr>
        <w:shd w:fill="F3F3F3" w:val="clear"/>
        <w:spacing w:after="0" w:line="240"/>
        <w:ind w:left="360"/>
      </w:pPr>
      <w:r>
        <w:rPr>
          <w:rFonts w:ascii="Consolas" w:cs="Consolas" w:eastAsia="Consolas" w:hAnsi="Consolas"/>
          <w:sz w:val="18"/>
          <w:szCs w:val="18"/>
        </w:rPr>
        <w:t xml:space="preserve">python -m fm_harness.cli compare --suite &lt;suite&gt;</w:t>
      </w:r>
    </w:p>
    <w:p>
      <w:pPr>
        <w:shd w:fill="F3F3F3" w:val="clear"/>
        <w:spacing w:after="0" w:line="240"/>
        <w:ind w:left="360"/>
      </w:pPr>
      <w:r>
        <w:rPr>
          <w:rFonts w:ascii="Consolas" w:cs="Consolas" w:eastAsia="Consolas" w:hAnsi="Consolas"/>
          <w:sz w:val="18"/>
          <w:szCs w:val="18"/>
        </w:rPr>
        <w:t xml:space="preserve">    Cross-model comparison from emitted profiles.</w:t>
      </w:r>
    </w:p>
    <w:p>
      <w:pPr>
        <w:shd w:fill="F3F3F3" w:val="clear"/>
        <w:spacing w:after="0" w:line="240"/>
        <w:ind w:left="360"/>
      </w:pPr>
      <w:r>
        <w:rPr>
          <w:rFonts w:ascii="Consolas" w:cs="Consolas" w:eastAsia="Consolas" w:hAnsi="Consolas"/>
          <w:sz w:val="18"/>
          <w:szCs w:val="18"/>
        </w:rPr>
        <w:t xml:space="preserve"> </w:t>
      </w:r>
    </w:p>
    <w:p>
      <w:pPr>
        <w:shd w:fill="F3F3F3" w:val="clear"/>
        <w:spacing w:after="0" w:line="240"/>
        <w:ind w:left="360"/>
      </w:pPr>
      <w:r>
        <w:rPr>
          <w:rFonts w:ascii="Consolas" w:cs="Consolas" w:eastAsia="Consolas" w:hAnsi="Consolas"/>
          <w:sz w:val="18"/>
          <w:szCs w:val="18"/>
        </w:rPr>
        <w:t xml:space="preserve">Offline self-test (no network, exercises every code path):</w:t>
      </w:r>
    </w:p>
    <w:p>
      <w:pPr>
        <w:shd w:fill="F3F3F3" w:val="clear"/>
        <w:spacing w:after="0" w:line="240"/>
        <w:ind w:left="360"/>
      </w:pPr>
      <w:r>
        <w:rPr>
          <w:rFonts w:ascii="Consolas" w:cs="Consolas" w:eastAsia="Consolas" w:hAnsi="Consolas"/>
          <w:sz w:val="18"/>
          <w:szCs w:val="18"/>
        </w:rPr>
        <w:t xml:space="preserve">python -m fm_harness.cli run --model mock-fm --suite classification_core</w:t>
      </w:r>
    </w:p>
    <w:p>
      <w:pPr>
        <w:shd w:fill="F3F3F3" w:val="clear"/>
        <w:spacing w:after="0" w:line="240"/>
        <w:ind w:left="360"/>
      </w:pPr>
      <w:r>
        <w:rPr>
          <w:rFonts w:ascii="Consolas" w:cs="Consolas" w:eastAsia="Consolas" w:hAnsi="Consolas"/>
          <w:sz w:val="18"/>
          <w:szCs w:val="18"/>
        </w:rPr>
        <w:t xml:space="preserve">python -m fm_harness.cli run --model mock-fm --suite rag_core --judge</w:t>
      </w:r>
    </w:p>
    <w:p>
      <w:pPr>
        <w:shd w:fill="F3F3F3" w:val="clear"/>
        <w:spacing w:after="0" w:line="240"/>
        <w:ind w:left="360"/>
      </w:pPr>
      <w:r>
        <w:rPr>
          <w:rFonts w:ascii="Consolas" w:cs="Consolas" w:eastAsia="Consolas" w:hAnsi="Consolas"/>
          <w:sz w:val="18"/>
          <w:szCs w:val="18"/>
        </w:rPr>
        <w:t xml:space="preserve">python -m fm_harness.cli run --model mock-fm --suite agentic_single</w:t>
      </w:r>
    </w:p>
    <w:p>
      <w:pPr>
        <w:spacing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2026-07-25T19:17:17.985Z</dcterms:created>
  <dcterms:modified xsi:type="dcterms:W3CDTF">2026-07-25T19:17:17.999Z</dcterms:modified>
</cp:coreProperties>
</file>

<file path=docProps/custom.xml><?xml version="1.0" encoding="utf-8"?>
<Properties xmlns="http://schemas.openxmlformats.org/officeDocument/2006/custom-properties" xmlns:vt="http://schemas.openxmlformats.org/officeDocument/2006/docPropsVTypes"/>
</file>