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9dyq1akcb7f" w:id="0"/>
      <w:bookmarkEnd w:id="0"/>
      <w:r w:rsidDel="00000000" w:rsidR="00000000" w:rsidRPr="00000000">
        <w:rPr>
          <w:rtl w:val="0"/>
        </w:rPr>
        <w:t xml:space="preserve">Признаки эпилепсии на OIS сигнале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 рассмотрел участок 0-10 минут, до подачи KCl, именно там я сам заметил некоторую корреляцию OIS сигнала и LFP в моменты эпилепсии. После KCl и деполяризации клетки, данные трудно анализировать.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График с OIS и LFP, штрих-линии показывают в какое время происходили пики эпилепсии.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разбил отрезки OIS соответствующие эпилепсии LFP на две группы: с пиком OIS после эпилепсии и со спадами OIS. Получилось три пика и 19 отчетливых спадов.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7052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731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Отбор спадов я производил вручную по признаку - есть падение амплитуды, однако интересно что динамика у всех очень похожа, то есть данные похожи на правду.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