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F41196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p w:rsidR="002C5D1E" w:rsidRDefault="002C5D1E" w:rsidP="002C5D1E">
      <w:pPr>
        <w:pStyle w:val="1"/>
      </w:pPr>
      <w:r>
        <w:lastRenderedPageBreak/>
        <w:t>Введение</w:t>
      </w:r>
    </w:p>
    <w:p w:rsidR="002C5D1E" w:rsidRPr="002C5D1E" w:rsidRDefault="002C5D1E" w:rsidP="002C5D1E"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r>
        <w:lastRenderedPageBreak/>
        <w:t>Задания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r>
        <w:lastRenderedPageBreak/>
        <w:t>Выполнение заданий</w:t>
      </w:r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r w:rsidR="00943ACA">
        <w:fldChar w:fldCharType="begin"/>
      </w:r>
      <w:r w:rsidR="00943ACA">
        <w:instrText xml:space="preserve"> SEQ Таблица \* ARABIC </w:instrText>
      </w:r>
      <w:r w:rsidR="00943ACA">
        <w:fldChar w:fldCharType="separate"/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00F6D986" wp14:editId="19038F99">
            <wp:extent cx="5760085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r w:rsidR="00943ACA">
        <w:fldChar w:fldCharType="begin"/>
      </w:r>
      <w:r w:rsidR="00943ACA">
        <w:instrText xml:space="preserve"> SEQ Рисунок \* ARABIC </w:instrText>
      </w:r>
      <w:r w:rsidR="00943ACA">
        <w:fldChar w:fldCharType="separate"/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>
        <w:t xml:space="preserve">. </w:t>
      </w:r>
      <w:r w:rsidRPr="008A21F0">
        <w:t>Схема декодирования кода Хемминга (7;4)</w:t>
      </w:r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r w:rsidR="00943ACA">
        <w:fldChar w:fldCharType="begin"/>
      </w:r>
      <w:r w:rsidR="00943ACA">
        <w:instrText xml:space="preserve"> REF _Ref117449428 </w:instrText>
      </w:r>
      <w:r w:rsidR="00943ACA">
        <w:fldChar w:fldCharType="separate"/>
      </w:r>
      <w:r w:rsidR="00235437">
        <w:t xml:space="preserve">Формула </w:t>
      </w:r>
      <w:r w:rsidR="00235437">
        <w:rPr>
          <w:noProof/>
        </w:rPr>
        <w:t>1</w:t>
      </w:r>
      <w:r w:rsidR="00943ACA">
        <w:rPr>
          <w:noProof/>
        </w:rPr>
        <w:fldChar w:fldCharType="end"/>
      </w:r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0" w:name="_Ref117449428"/>
      <w:r>
        <w:t xml:space="preserve">Формула </w:t>
      </w:r>
      <w:r w:rsidR="00B4351A">
        <w:fldChar w:fldCharType="begin"/>
      </w:r>
      <w:r w:rsidR="00B4351A">
        <w:instrText xml:space="preserve"> SEQ Формула \* ARABIC </w:instrText>
      </w:r>
      <w:r w:rsidR="00B4351A">
        <w:fldChar w:fldCharType="separate"/>
      </w:r>
      <w:r w:rsidR="00B4351A">
        <w:rPr>
          <w:noProof/>
        </w:rPr>
        <w:t>1</w:t>
      </w:r>
      <w:r w:rsidR="00B4351A">
        <w:fldChar w:fldCharType="end"/>
      </w:r>
      <w:bookmarkEnd w:id="0"/>
      <w:r>
        <w:t xml:space="preserve">. </w:t>
      </w:r>
      <w:r w:rsidR="00B4351A">
        <w:t>Вычисление</w:t>
      </w:r>
      <w:r>
        <w:t xml:space="preserve">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  <w:r w:rsidR="00AE6019">
        <w:t>, получаем</w:t>
      </w:r>
      <w:r w:rsidR="003147BC">
        <w:t xml:space="preserve"> двоичное</w:t>
      </w:r>
      <w:r w:rsidR="00AE6019">
        <w:t xml:space="preserve"> число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1" w:name="_Ref117450753"/>
      <w:r>
        <w:t xml:space="preserve">Таблица </w:t>
      </w:r>
      <w:r w:rsidR="00943ACA">
        <w:fldChar w:fldCharType="begin"/>
      </w:r>
      <w:r w:rsidR="00943ACA">
        <w:instrText xml:space="preserve"> SEQ Таблица \* ARABIC </w:instrText>
      </w:r>
      <w:r w:rsidR="00943ACA">
        <w:fldChar w:fldCharType="separate"/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bookmarkEnd w:id="1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r w:rsidR="00943ACA">
        <w:fldChar w:fldCharType="begin"/>
      </w:r>
      <w:r w:rsidR="00943ACA">
        <w:instrText xml:space="preserve"> SEQ Таблица \* ARABIC </w:instrText>
      </w:r>
      <w:r w:rsidR="00943ACA">
        <w:fldChar w:fldCharType="separate"/>
      </w:r>
      <w:r w:rsidR="00235437">
        <w:rPr>
          <w:noProof/>
        </w:rPr>
        <w:t>3</w:t>
      </w:r>
      <w:r w:rsidR="00943ACA">
        <w:rPr>
          <w:noProof/>
        </w:rPr>
        <w:fldChar w:fldCharType="end"/>
      </w:r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r w:rsidR="00943ACA">
        <w:fldChar w:fldCharType="begin"/>
      </w:r>
      <w:r w:rsidR="00943ACA">
        <w:instrText xml:space="preserve"> SEQ Таблица \* ARABIC </w:instrText>
      </w:r>
      <w:r w:rsidR="00943ACA">
        <w:fldChar w:fldCharType="separate"/>
      </w:r>
      <w:r w:rsidR="00235437">
        <w:rPr>
          <w:noProof/>
        </w:rPr>
        <w:t>4</w:t>
      </w:r>
      <w:r w:rsidR="00943ACA">
        <w:rPr>
          <w:noProof/>
        </w:rPr>
        <w:fldChar w:fldCharType="end"/>
      </w:r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AA456D" w:rsidRDefault="00AA456D" w:rsidP="00AA456D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r w:rsidR="00943ACA">
        <w:fldChar w:fldCharType="begin"/>
      </w:r>
      <w:r w:rsidR="00943ACA">
        <w:instrText xml:space="preserve"> SEQ Таблица \* ARABIC </w:instrText>
      </w:r>
      <w:r w:rsidR="00943ACA">
        <w:fldChar w:fldCharType="separate"/>
      </w:r>
      <w:r w:rsidR="00235437">
        <w:rPr>
          <w:noProof/>
        </w:rPr>
        <w:t>5</w:t>
      </w:r>
      <w:r w:rsidR="00943ACA">
        <w:rPr>
          <w:noProof/>
        </w:rPr>
        <w:fldChar w:fldCharType="end"/>
      </w:r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>
        <w:t>0101001.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r w:rsidR="00943ACA">
        <w:fldChar w:fldCharType="begin"/>
      </w:r>
      <w:r w:rsidR="00943ACA">
        <w:instrText xml:space="preserve"> REF _Ref117450753 </w:instrText>
      </w:r>
      <w:r w:rsidR="00943ACA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943ACA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r w:rsidR="00943ACA">
        <w:fldChar w:fldCharType="begin"/>
      </w:r>
      <w:r w:rsidR="00943ACA">
        <w:instrText xml:space="preserve"> SEQ Таблица \* ARABIC </w:instrText>
      </w:r>
      <w:r w:rsidR="00943ACA">
        <w:fldChar w:fldCharType="separate"/>
      </w:r>
      <w:r w:rsidR="00235437">
        <w:rPr>
          <w:noProof/>
        </w:rPr>
        <w:t>6</w:t>
      </w:r>
      <w:r w:rsidR="00943ACA">
        <w:rPr>
          <w:noProof/>
        </w:rPr>
        <w:fldChar w:fldCharType="end"/>
      </w:r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lastRenderedPageBreak/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3706EB" w:rsidRDefault="003706EB" w:rsidP="003706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7AF935" wp14:editId="29B7318F">
            <wp:extent cx="5859214" cy="5523331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330" cy="55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37" w:rsidRDefault="003706EB" w:rsidP="00235437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437">
        <w:rPr>
          <w:noProof/>
        </w:rPr>
        <w:t>2</w:t>
      </w:r>
      <w:r>
        <w:fldChar w:fldCharType="end"/>
      </w:r>
      <w:r>
        <w:t>. Схема декодирования кода Хэмминга (15</w:t>
      </w:r>
      <w:r w:rsidRPr="003706EB">
        <w:t>;11)</w:t>
      </w:r>
    </w:p>
    <w:p w:rsidR="00235437" w:rsidRDefault="00235437" w:rsidP="00235437">
      <w:pPr>
        <w:pStyle w:val="aa"/>
      </w:pPr>
      <w:r>
        <w:lastRenderedPageBreak/>
        <w:t>Примечание для №7</w:t>
      </w:r>
    </w:p>
    <w:p w:rsidR="00CD454B" w:rsidRDefault="00235437" w:rsidP="00CD454B">
      <w:r>
        <w:t>Для решения №7 и поиска ошибки в 15-значном коде я буду использовать тот же алгоритм, что и для заданий 4.1 – 4.4</w:t>
      </w:r>
      <w:r w:rsidR="00CD454B">
        <w:t>, но буду считать синдромы по новым формулам</w:t>
      </w:r>
      <w:r w:rsidR="00CD454B" w:rsidRPr="00CD454B">
        <w:t>:</w:t>
      </w:r>
    </w:p>
    <w:p w:rsidR="00B4351A" w:rsidRDefault="00CD454B" w:rsidP="00B4351A">
      <w:pPr>
        <w:jc w:val="center"/>
        <w:rPr>
          <w:rFonts w:eastAsia="Times New Roman"/>
          <w:lang w:val="en-US" w:eastAsia="ru-RU"/>
        </w:rPr>
      </w:pPr>
      <w:r>
        <w:rPr>
          <w:lang w:val="en-US"/>
        </w:rPr>
        <w:t>S1 = r1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</w:t>
      </w:r>
      <w:r>
        <w:rPr>
          <w:lang w:val="en-US"/>
        </w:rPr>
        <w:t>i1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i2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i4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i5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i7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i9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i11</w:t>
      </w:r>
    </w:p>
    <w:p w:rsidR="00B4351A" w:rsidRPr="00B4351A" w:rsidRDefault="00B4351A" w:rsidP="00B4351A">
      <w:pPr>
        <w:jc w:val="center"/>
        <w:rPr>
          <w:rFonts w:eastAsia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S2 = r</w:t>
      </w:r>
      <w:r>
        <w:rPr>
          <w:rFonts w:ascii="Times New Roman" w:eastAsia="Times New Roman" w:hAnsi="Times New Roman" w:cs="Times New Roman"/>
          <w:lang w:val="en-US" w:eastAsia="ru-RU"/>
        </w:rPr>
        <w:t xml:space="preserve">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1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>11</w:t>
      </w:r>
    </w:p>
    <w:p w:rsidR="00B4351A" w:rsidRDefault="00B4351A" w:rsidP="00B4351A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S3 = r</w:t>
      </w:r>
      <w:r>
        <w:rPr>
          <w:rFonts w:ascii="Times New Roman" w:eastAsia="Times New Roman" w:hAnsi="Times New Roman" w:cs="Times New Roman"/>
          <w:lang w:val="en-US" w:eastAsia="ru-RU"/>
        </w:rPr>
        <w:t xml:space="preserve">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</w:t>
      </w:r>
      <w:r>
        <w:rPr>
          <w:rFonts w:ascii="Times New Roman" w:eastAsia="Times New Roman" w:hAnsi="Times New Roman" w:cs="Times New Roman"/>
          <w:lang w:val="en-US" w:eastAsia="ru-RU"/>
        </w:rPr>
        <w:t xml:space="preserve">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>11</w:t>
      </w:r>
    </w:p>
    <w:p w:rsidR="00B4351A" w:rsidRDefault="00B4351A" w:rsidP="00B4351A">
      <w:pPr>
        <w:keepNext/>
        <w:jc w:val="center"/>
      </w:pPr>
      <w:r>
        <w:rPr>
          <w:rFonts w:ascii="Times New Roman" w:eastAsia="Times New Roman" w:hAnsi="Times New Roman" w:cs="Times New Roman"/>
          <w:lang w:val="en-US" w:eastAsia="ru-RU"/>
        </w:rPr>
        <w:t xml:space="preserve">S4 = </w:t>
      </w:r>
      <w:r>
        <w:rPr>
          <w:rFonts w:ascii="Times New Roman" w:eastAsia="Times New Roman" w:hAnsi="Times New Roman" w:cs="Times New Roman"/>
          <w:lang w:val="en-US" w:eastAsia="ru-RU"/>
        </w:rPr>
        <w:t>r</w:t>
      </w:r>
      <w:r>
        <w:rPr>
          <w:rFonts w:ascii="Times New Roman" w:eastAsia="Times New Roman" w:hAnsi="Times New Roman" w:cs="Times New Roman"/>
          <w:lang w:val="en-US" w:eastAsia="ru-RU"/>
        </w:rPr>
        <w:t xml:space="preserve">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5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 xml:space="preserve">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</w:t>
      </w:r>
      <w:r>
        <w:rPr>
          <w:rFonts w:ascii="Times New Roman" w:eastAsia="Times New Roman" w:hAnsi="Times New Roman" w:cs="Times New Roman"/>
          <w:lang w:val="en-US" w:eastAsia="ru-RU"/>
        </w:rPr>
        <w:t>11</w:t>
      </w:r>
    </w:p>
    <w:p w:rsidR="00B4351A" w:rsidRDefault="00B4351A" w:rsidP="00B4351A">
      <w:pPr>
        <w:pStyle w:val="ad"/>
        <w:jc w:val="center"/>
      </w:pPr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043A2B">
        <w:t>Вычисление синдромов последовательности длиной 7 бит</w:t>
      </w:r>
    </w:p>
    <w:p w:rsidR="00B4351A" w:rsidRPr="00B4351A" w:rsidRDefault="00B4351A" w:rsidP="00B4351A">
      <w:pPr>
        <w:rPr>
          <w:lang w:eastAsia="ru-RU"/>
        </w:rPr>
      </w:pPr>
      <w:r>
        <w:rPr>
          <w:lang w:eastAsia="ru-RU"/>
        </w:rPr>
        <w:t xml:space="preserve">Также прилагаю </w:t>
      </w:r>
      <w:bookmarkStart w:id="2" w:name="_GoBack"/>
      <w:bookmarkEnd w:id="2"/>
    </w:p>
    <w:sectPr w:rsidR="00B4351A" w:rsidRPr="00B4351A" w:rsidSect="00C36807">
      <w:footerReference w:type="default" r:id="rId10"/>
      <w:footerReference w:type="first" r:id="rId11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ACA" w:rsidRDefault="00943ACA" w:rsidP="003C0897">
      <w:pPr>
        <w:spacing w:after="0" w:line="240" w:lineRule="auto"/>
      </w:pPr>
      <w:r>
        <w:separator/>
      </w:r>
    </w:p>
  </w:endnote>
  <w:endnote w:type="continuationSeparator" w:id="0">
    <w:p w:rsidR="00943ACA" w:rsidRDefault="00943ACA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E3596" w:rsidRPr="0063280F" w:rsidRDefault="008E359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51A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596" w:rsidRPr="00BB10D0" w:rsidRDefault="008E359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ACA" w:rsidRDefault="00943ACA" w:rsidP="003C0897">
      <w:pPr>
        <w:spacing w:after="0" w:line="240" w:lineRule="auto"/>
      </w:pPr>
      <w:r>
        <w:separator/>
      </w:r>
    </w:p>
  </w:footnote>
  <w:footnote w:type="continuationSeparator" w:id="0">
    <w:p w:rsidR="00943ACA" w:rsidRDefault="00943ACA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112D9F"/>
    <w:rsid w:val="00132A8E"/>
    <w:rsid w:val="001501A5"/>
    <w:rsid w:val="00165D18"/>
    <w:rsid w:val="00191267"/>
    <w:rsid w:val="001B554C"/>
    <w:rsid w:val="001B66DD"/>
    <w:rsid w:val="001D549C"/>
    <w:rsid w:val="001F1E01"/>
    <w:rsid w:val="001F3338"/>
    <w:rsid w:val="001F5C05"/>
    <w:rsid w:val="00210367"/>
    <w:rsid w:val="00235437"/>
    <w:rsid w:val="00255E49"/>
    <w:rsid w:val="00282968"/>
    <w:rsid w:val="002941D6"/>
    <w:rsid w:val="002B319B"/>
    <w:rsid w:val="002B4CD5"/>
    <w:rsid w:val="002C5D1E"/>
    <w:rsid w:val="002D706B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C0897"/>
    <w:rsid w:val="003C464D"/>
    <w:rsid w:val="003C54A0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B3BCF"/>
    <w:rsid w:val="005B5517"/>
    <w:rsid w:val="005B7121"/>
    <w:rsid w:val="005D39A0"/>
    <w:rsid w:val="005E002D"/>
    <w:rsid w:val="005E5B87"/>
    <w:rsid w:val="005F778B"/>
    <w:rsid w:val="0063280F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161FE"/>
    <w:rsid w:val="00937B46"/>
    <w:rsid w:val="00940F11"/>
    <w:rsid w:val="00943ACA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A02B66"/>
    <w:rsid w:val="00A042FF"/>
    <w:rsid w:val="00A24DDD"/>
    <w:rsid w:val="00A34E5A"/>
    <w:rsid w:val="00A35D4B"/>
    <w:rsid w:val="00A47C94"/>
    <w:rsid w:val="00A50A5E"/>
    <w:rsid w:val="00A52B3E"/>
    <w:rsid w:val="00A6736B"/>
    <w:rsid w:val="00A81E69"/>
    <w:rsid w:val="00A90C64"/>
    <w:rsid w:val="00AA456D"/>
    <w:rsid w:val="00AB2AF6"/>
    <w:rsid w:val="00AC4C65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7028F"/>
    <w:rsid w:val="00B77F11"/>
    <w:rsid w:val="00B82448"/>
    <w:rsid w:val="00BB10D0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32D8"/>
    <w:rsid w:val="00C7168B"/>
    <w:rsid w:val="00C82420"/>
    <w:rsid w:val="00CD454B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74864"/>
    <w:rsid w:val="00D8001C"/>
    <w:rsid w:val="00D81DE1"/>
    <w:rsid w:val="00DA4E0B"/>
    <w:rsid w:val="00DC2E52"/>
    <w:rsid w:val="00E149CD"/>
    <w:rsid w:val="00E23E33"/>
    <w:rsid w:val="00E84A6C"/>
    <w:rsid w:val="00EA1665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21093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0C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D05C8D3-57BA-42E1-BAC3-1B6554EF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45</cp:revision>
  <cp:lastPrinted>2022-10-24T14:06:00Z</cp:lastPrinted>
  <dcterms:created xsi:type="dcterms:W3CDTF">2022-10-22T15:47:00Z</dcterms:created>
  <dcterms:modified xsi:type="dcterms:W3CDTF">2022-10-24T14:24:00Z</dcterms:modified>
</cp:coreProperties>
</file>