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0D32038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min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ind w:firstLine="0"/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4304D9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ind w:firstLine="0"/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4304D9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4304D9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4304D9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4304D9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ind w:firstLine="0"/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A43315" w14:textId="464881F9" w:rsidR="008044EB" w:rsidRPr="008044EB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≈</m:t>
          </m:r>
          <m:r>
            <w:rPr>
              <w:rFonts w:ascii="Cambria Math" w:eastAsiaTheme="minorEastAsia" w:hAnsi="Cambria Math" w:cstheme="majorBidi"/>
              <w:lang w:val="en-US"/>
            </w:rPr>
            <m:t>0.9871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2A76E7E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in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2F6A5FAF" w14:textId="1EE5899A" w:rsidR="007A36CF" w:rsidRDefault="007A36CF" w:rsidP="007A36C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4756A69E" w14:textId="6656F1EC" w:rsidR="00573AF4" w:rsidRPr="00573AF4" w:rsidRDefault="00573AF4" w:rsidP="00573AF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3A312CCC" w14:textId="3AA7CB3D" w:rsidR="007A36CF" w:rsidRDefault="007A36CF" w:rsidP="007A36CF">
      <w:pPr>
        <w:rPr>
          <w:rFonts w:eastAsiaTheme="minorEastAsia"/>
        </w:rPr>
      </w:pPr>
      <w:r>
        <w:rPr>
          <w:rFonts w:eastAsiaTheme="minorEastAsia"/>
        </w:rPr>
        <w:t>При ограничениях</w:t>
      </w:r>
    </w:p>
    <w:p w14:paraId="4E0D7858" w14:textId="75CEA46D" w:rsidR="00573AF4" w:rsidRPr="00333B61" w:rsidRDefault="00000000" w:rsidP="00573A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c,</m:t>
          </m:r>
        </m:oMath>
      </m:oMathPara>
    </w:p>
    <w:p w14:paraId="0F99F114" w14:textId="68FBE587" w:rsidR="00333B61" w:rsidRDefault="00333B61" w:rsidP="00333B61">
      <w:pPr>
        <w:rPr>
          <w:rFonts w:eastAsiaTheme="minorEastAsia"/>
          <w:lang w:val="en-US"/>
        </w:rPr>
      </w:pPr>
      <w:r>
        <w:rPr>
          <w:rFonts w:eastAsiaTheme="minorEastAsia"/>
        </w:rPr>
        <w:t>Применим метод искусственного базиса</w:t>
      </w:r>
      <w:r>
        <w:rPr>
          <w:rFonts w:eastAsiaTheme="minorEastAsia"/>
          <w:lang w:val="en-US"/>
        </w:rPr>
        <w:t>:</w:t>
      </w:r>
    </w:p>
    <w:p w14:paraId="23303C2D" w14:textId="5173C327" w:rsidR="00333B61" w:rsidRPr="009C4FD3" w:rsidRDefault="00000000" w:rsidP="00333B61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FC96F0" w14:textId="77777777" w:rsidR="009C4FD3" w:rsidRPr="00333B61" w:rsidRDefault="009C4FD3" w:rsidP="00333B61">
      <w:pPr>
        <w:rPr>
          <w:rFonts w:eastAsiaTheme="minorEastAsia"/>
          <w:lang w:val="en-US"/>
        </w:rPr>
      </w:pPr>
    </w:p>
    <w:sectPr w:rsidR="009C4FD3" w:rsidRPr="00333B61" w:rsidSect="00A20C46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8712" w14:textId="77777777" w:rsidR="00A20C46" w:rsidRPr="004410AE" w:rsidRDefault="00A20C46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7F33FEF6" w14:textId="77777777" w:rsidR="00A20C46" w:rsidRPr="004410AE" w:rsidRDefault="00A20C46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3A896" w14:textId="77777777" w:rsidR="00A20C46" w:rsidRPr="004410AE" w:rsidRDefault="00A20C46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5EC051E3" w14:textId="77777777" w:rsidR="00A20C46" w:rsidRPr="004410AE" w:rsidRDefault="00A20C46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76AB6"/>
    <w:rsid w:val="000852B6"/>
    <w:rsid w:val="00087BD3"/>
    <w:rsid w:val="00094248"/>
    <w:rsid w:val="000C342F"/>
    <w:rsid w:val="000E1C2E"/>
    <w:rsid w:val="000F18A9"/>
    <w:rsid w:val="000F6F1D"/>
    <w:rsid w:val="00103568"/>
    <w:rsid w:val="00105579"/>
    <w:rsid w:val="00107C9E"/>
    <w:rsid w:val="00131FD9"/>
    <w:rsid w:val="001327F6"/>
    <w:rsid w:val="00152ED4"/>
    <w:rsid w:val="00190014"/>
    <w:rsid w:val="00195DDD"/>
    <w:rsid w:val="0021769F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33B61"/>
    <w:rsid w:val="00345A80"/>
    <w:rsid w:val="003559FC"/>
    <w:rsid w:val="0035648A"/>
    <w:rsid w:val="00357A5A"/>
    <w:rsid w:val="0038519D"/>
    <w:rsid w:val="003939E3"/>
    <w:rsid w:val="00396226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70D33"/>
    <w:rsid w:val="00573AF4"/>
    <w:rsid w:val="0057762F"/>
    <w:rsid w:val="005820E7"/>
    <w:rsid w:val="00582D3A"/>
    <w:rsid w:val="005B0E64"/>
    <w:rsid w:val="005C3657"/>
    <w:rsid w:val="00602822"/>
    <w:rsid w:val="00623F24"/>
    <w:rsid w:val="0062706D"/>
    <w:rsid w:val="00632D1C"/>
    <w:rsid w:val="00651C00"/>
    <w:rsid w:val="00675A87"/>
    <w:rsid w:val="006776AA"/>
    <w:rsid w:val="006908AB"/>
    <w:rsid w:val="00692B1E"/>
    <w:rsid w:val="006A10F9"/>
    <w:rsid w:val="006A5EF5"/>
    <w:rsid w:val="006A73CB"/>
    <w:rsid w:val="006C6455"/>
    <w:rsid w:val="006D51A7"/>
    <w:rsid w:val="0070013D"/>
    <w:rsid w:val="00710279"/>
    <w:rsid w:val="00712C59"/>
    <w:rsid w:val="00713480"/>
    <w:rsid w:val="00736D56"/>
    <w:rsid w:val="007728A6"/>
    <w:rsid w:val="0077320C"/>
    <w:rsid w:val="00791028"/>
    <w:rsid w:val="00791F05"/>
    <w:rsid w:val="007A36CF"/>
    <w:rsid w:val="007C136D"/>
    <w:rsid w:val="007D264E"/>
    <w:rsid w:val="007E5C00"/>
    <w:rsid w:val="00800E43"/>
    <w:rsid w:val="008044EB"/>
    <w:rsid w:val="00831082"/>
    <w:rsid w:val="008505BC"/>
    <w:rsid w:val="0085571C"/>
    <w:rsid w:val="008800E7"/>
    <w:rsid w:val="008958C5"/>
    <w:rsid w:val="008A5130"/>
    <w:rsid w:val="008A5DDC"/>
    <w:rsid w:val="008A6822"/>
    <w:rsid w:val="008D12CF"/>
    <w:rsid w:val="00900CC9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C4FD3"/>
    <w:rsid w:val="009D3861"/>
    <w:rsid w:val="00A001DE"/>
    <w:rsid w:val="00A03253"/>
    <w:rsid w:val="00A20C46"/>
    <w:rsid w:val="00A37C66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15A58"/>
    <w:rsid w:val="00B36CA4"/>
    <w:rsid w:val="00B40375"/>
    <w:rsid w:val="00B42CF6"/>
    <w:rsid w:val="00B50BE3"/>
    <w:rsid w:val="00B51457"/>
    <w:rsid w:val="00B55CAC"/>
    <w:rsid w:val="00B75FAB"/>
    <w:rsid w:val="00B825D5"/>
    <w:rsid w:val="00B845A0"/>
    <w:rsid w:val="00B85DD0"/>
    <w:rsid w:val="00BC70D5"/>
    <w:rsid w:val="00BC7629"/>
    <w:rsid w:val="00BD0C96"/>
    <w:rsid w:val="00BF77EE"/>
    <w:rsid w:val="00C10FC9"/>
    <w:rsid w:val="00C114DB"/>
    <w:rsid w:val="00C245CB"/>
    <w:rsid w:val="00C26A5A"/>
    <w:rsid w:val="00C3650B"/>
    <w:rsid w:val="00C428C5"/>
    <w:rsid w:val="00C5438D"/>
    <w:rsid w:val="00C772E9"/>
    <w:rsid w:val="00C930D2"/>
    <w:rsid w:val="00CA03F4"/>
    <w:rsid w:val="00CA321C"/>
    <w:rsid w:val="00CA40FF"/>
    <w:rsid w:val="00CB6878"/>
    <w:rsid w:val="00CD4E8C"/>
    <w:rsid w:val="00CE03E9"/>
    <w:rsid w:val="00CE1A88"/>
    <w:rsid w:val="00D12C06"/>
    <w:rsid w:val="00D21E4A"/>
    <w:rsid w:val="00D22AC3"/>
    <w:rsid w:val="00D2446B"/>
    <w:rsid w:val="00D30720"/>
    <w:rsid w:val="00D351A8"/>
    <w:rsid w:val="00D46177"/>
    <w:rsid w:val="00D945EE"/>
    <w:rsid w:val="00DB0F4D"/>
    <w:rsid w:val="00DD052B"/>
    <w:rsid w:val="00DE4687"/>
    <w:rsid w:val="00DE750C"/>
    <w:rsid w:val="00E2527F"/>
    <w:rsid w:val="00E30C3D"/>
    <w:rsid w:val="00E52B14"/>
    <w:rsid w:val="00E53186"/>
    <w:rsid w:val="00E66B02"/>
    <w:rsid w:val="00E712A3"/>
    <w:rsid w:val="00E839B4"/>
    <w:rsid w:val="00EA2D4C"/>
    <w:rsid w:val="00EB6095"/>
    <w:rsid w:val="00EC5539"/>
    <w:rsid w:val="00EE617F"/>
    <w:rsid w:val="00EF059B"/>
    <w:rsid w:val="00EF4B3C"/>
    <w:rsid w:val="00F00DCB"/>
    <w:rsid w:val="00F069B0"/>
    <w:rsid w:val="00F06BC2"/>
    <w:rsid w:val="00F171AA"/>
    <w:rsid w:val="00F171F4"/>
    <w:rsid w:val="00F77786"/>
    <w:rsid w:val="00FD07F6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AF4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3AF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573AF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73AF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573AF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573AF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15</cp:revision>
  <dcterms:created xsi:type="dcterms:W3CDTF">2024-04-19T04:35:00Z</dcterms:created>
  <dcterms:modified xsi:type="dcterms:W3CDTF">2024-04-19T06:16:00Z</dcterms:modified>
</cp:coreProperties>
</file>