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aps/>
          <w:color w:val="5A5A5A"/>
          <w:sz w:val="19"/>
          <w:szCs w:val="19"/>
        </w:rPr>
        <w:t xml:space="preserve">VITAL AGRI NUTRIENTS · VAN OPERATIONS PLATFORM</w:t>
      </w:r>
    </w:p>
    <w:p>
      <w:pPr>
        <w:spacing w:after="0" w:before="120"/>
      </w:pPr>
      <w:r>
        <w:rPr>
          <w:rFonts w:ascii="Calibri" w:cs="Calibri" w:eastAsia="Calibri" w:hAnsi="Calibri"/>
          <w:b/>
          <w:bCs/>
          <w:color w:val="1A1A1A"/>
          <w:sz w:val="48"/>
          <w:szCs w:val="48"/>
        </w:rPr>
        <w:t xml:space="preserve">Hosting &amp; Mail — What to Set Up</w:t>
      </w:r>
    </w:p>
    <w:p>
      <w:pPr>
        <w:spacing w:after="300" w:before="60"/>
      </w:pPr>
      <w:r>
        <w:rPr>
          <w:rFonts w:ascii="Calibri" w:cs="Calibri" w:eastAsia="Calibri" w:hAnsi="Calibri"/>
          <w:color w:val="444444"/>
          <w:sz w:val="30"/>
          <w:szCs w:val="30"/>
        </w:rPr>
        <w:t xml:space="preserve">A note for the technical team</w:t>
      </w:r>
    </w:p>
    <w:p>
      <w:pPr>
        <w:pBdr>
          <w:bottom w:val="single" w:color="C9C9C9" w:sz="6"/>
        </w:pBdr>
        <w:spacing w:after="160" w:before="40"/>
      </w:pPr>
      <w:r>
        <w:rPr>
          <w:sz w:val="2"/>
          <w:szCs w:val="2"/>
        </w:rPr>
        <w:t xml:space="preserve"/>
      </w:r>
    </w:p>
    <w:p>
      <w:pPr>
        <w:spacing w:after="300" w:before="0" w:line="276"/>
      </w:pPr>
      <w:r>
        <w:rPr>
          <w:rFonts w:ascii="Calibri" w:cs="Calibri" w:eastAsia="Calibri" w:hAnsi="Calibri"/>
          <w:color w:val="1A1A1A"/>
          <w:sz w:val="23"/>
          <w:szCs w:val="23"/>
        </w:rPr>
        <w:t xml:space="preserve">PD is about to go live and needs to send email. This note sets out what the current hosting will and will not allow, what has already been decided, and the exact configuration required. It assumes no prior context on this application.</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1800"/>
        <w:gridCol w:w="7400"/>
      </w:tblGrid>
      <w:tr>
        <w:trPr>
          <w:tblHeader/>
        </w:trPr>
        <w:tc>
          <w:tcPr>
            <w:tcW w:type="dxa" w:w="18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
            </w:r>
          </w:p>
        </w:tc>
        <w:tc>
          <w:tcPr>
            <w:tcW w:type="dxa" w:w="74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
            </w:r>
          </w:p>
        </w:tc>
      </w:tr>
      <w:tr>
        <w:tc>
          <w:tcPr>
            <w:tcW w:type="dxa" w:w="18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Application</w:t>
            </w:r>
          </w:p>
        </w:tc>
        <w:tc>
          <w:tcPr>
            <w:tcW w:type="dxa" w:w="7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VAN Operations Platform — Node/Express, one service, serving the O2S and PD subsystems plus the launcher.</w:t>
            </w:r>
          </w:p>
        </w:tc>
      </w:tr>
      <w:tr>
        <w:tc>
          <w:tcPr>
            <w:tcW w:type="dxa" w:w="18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Repository</w:t>
            </w:r>
          </w:p>
        </w:tc>
        <w:tc>
          <w:tcPr>
            <w:tcW w:type="dxa" w:w="74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github.com/taabbas1947-eng/VAN-OP · branch main</w:t>
            </w:r>
          </w:p>
        </w:tc>
      </w:tr>
      <w:tr>
        <w:tc>
          <w:tcPr>
            <w:tcW w:type="dxa" w:w="18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Hosted on</w:t>
            </w:r>
          </w:p>
        </w:tc>
        <w:tc>
          <w:tcPr>
            <w:tcW w:type="dxa" w:w="7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Render — service name van-control-tower. Currently on the free plan; an upgrade to the $7/month Starter instance has been agreed.</w:t>
            </w:r>
          </w:p>
        </w:tc>
      </w:tr>
      <w:tr>
        <w:tc>
          <w:tcPr>
            <w:tcW w:type="dxa" w:w="18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Database</w:t>
            </w:r>
          </w:p>
        </w:tc>
        <w:tc>
          <w:tcPr>
            <w:tcW w:type="dxa" w:w="74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External MySQL on HostGator. Not a Render-managed database. Set through DATABASE_URL in the Render dashboard.</w:t>
            </w:r>
          </w:p>
        </w:tc>
      </w:tr>
      <w:tr>
        <w:tc>
          <w:tcPr>
            <w:tcW w:type="dxa" w:w="18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Decided already</w:t>
            </w:r>
          </w:p>
        </w:tc>
        <w:tc>
          <w:tcPr>
            <w:tcW w:type="dxa" w:w="7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Upgrade Render to the paid instance. Notifications will send from a VAN domain whose DNS we control.</w:t>
            </w:r>
          </w:p>
        </w:tc>
      </w:tr>
      <w:tr>
        <w:tc>
          <w:tcPr>
            <w:tcW w:type="dxa" w:w="18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Date</w:t>
            </w:r>
          </w:p>
        </w:tc>
        <w:tc>
          <w:tcPr>
            <w:tcW w:type="dxa" w:w="74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17 August 2026</w:t>
            </w:r>
          </w:p>
        </w:tc>
      </w:tr>
    </w:tbl>
    <w:p>
      <w:r>
        <w:br w:type="page"/>
      </w:r>
    </w:p>
    <w:p>
      <w:pPr>
        <w:pStyle w:val="Heading1"/>
        <w:spacing w:after="180" w:before="380"/>
      </w:pPr>
      <w:r>
        <w:rPr>
          <w:rFonts w:ascii="Calibri" w:cs="Calibri" w:eastAsia="Calibri" w:hAnsi="Calibri"/>
          <w:b/>
          <w:bCs/>
          <w:color w:val="1A1A1A"/>
          <w:sz w:val="30"/>
          <w:szCs w:val="30"/>
        </w:rPr>
        <w:t xml:space="preserve">1. Why this note exists</w:t>
      </w:r>
    </w:p>
    <w:p>
      <w:pPr>
        <w:spacing w:after="120" w:before="0" w:line="276"/>
      </w:pPr>
      <w:r>
        <w:rPr>
          <w:rFonts w:ascii="Calibri" w:cs="Calibri" w:eastAsia="Calibri" w:hAnsi="Calibri"/>
          <w:color w:val="1A1A1A"/>
          <w:sz w:val="21"/>
          <w:szCs w:val="21"/>
        </w:rPr>
        <w:t xml:space="preserve">The PD team briefing promises every person who submits an idea that they will be told the decision and the reason, every time, within fifteen days. There is currently no code in the application that sends anything at all — the feature was deliberately deferred pending a decision about mail. That promise is the main reason anyone bothers to submit, so it needs to be real before the team is let in.</w:t>
      </w:r>
    </w:p>
    <w:p>
      <w:pPr>
        <w:spacing w:after="120" w:before="0" w:line="276"/>
      </w:pPr>
      <w:r>
        <w:rPr>
          <w:rFonts w:ascii="Calibri" w:cs="Calibri" w:eastAsia="Calibri" w:hAnsi="Calibri"/>
          <w:color w:val="1A1A1A"/>
          <w:sz w:val="21"/>
          <w:szCs w:val="21"/>
        </w:rPr>
        <w:t xml:space="preserve">The notification code is being written now and is deliberately transport-agnostic: </w:t>
      </w:r>
      <w:r>
        <w:rPr>
          <w:rFonts w:ascii="Calibri" w:cs="Calibri" w:eastAsia="Calibri" w:hAnsi="Calibri"/>
          <w:b/>
          <w:bCs/>
          <w:color w:val="1A1A1A"/>
          <w:sz w:val="21"/>
          <w:szCs w:val="21"/>
        </w:rPr>
        <w:t xml:space="preserve">which mail service is used is a set of environment variables, not a code change.</w:t>
      </w:r>
      <w:r>
        <w:rPr>
          <w:rFonts w:ascii="Calibri" w:cs="Calibri" w:eastAsia="Calibri" w:hAnsi="Calibri"/>
          <w:color w:val="1A1A1A"/>
          <w:sz w:val="21"/>
          <w:szCs w:val="21"/>
        </w:rPr>
        <w:t xml:space="preserve"> Nothing in this note blocks that work — it decides what those variables will contain.</w:t>
      </w:r>
    </w:p>
    <w:p>
      <w:pPr>
        <w:pStyle w:val="Heading1"/>
        <w:spacing w:after="180" w:before="380"/>
      </w:pPr>
      <w:r>
        <w:rPr>
          <w:rFonts w:ascii="Calibri" w:cs="Calibri" w:eastAsia="Calibri" w:hAnsi="Calibri"/>
          <w:b/>
          <w:bCs/>
          <w:color w:val="1A1A1A"/>
          <w:sz w:val="30"/>
          <w:szCs w:val="30"/>
        </w:rPr>
        <w:t xml:space="preserve">2. Three things the free plan was silently breaking</w:t>
      </w:r>
    </w:p>
    <w:p>
      <w:pPr>
        <w:spacing w:after="120" w:before="0" w:line="276"/>
      </w:pPr>
      <w:r>
        <w:rPr>
          <w:rFonts w:ascii="Calibri" w:cs="Calibri" w:eastAsia="Calibri" w:hAnsi="Calibri"/>
          <w:color w:val="1A1A1A"/>
          <w:sz w:val="21"/>
          <w:szCs w:val="21"/>
        </w:rPr>
        <w:t xml:space="preserve">These are the reason the upgrade is worth doing, stated so the decision is on the record.</w:t>
      </w:r>
    </w:p>
    <w:p>
      <w:pPr>
        <w:pStyle w:val="Heading2"/>
        <w:spacing w:after="130" w:before="300"/>
      </w:pPr>
      <w:r>
        <w:rPr>
          <w:rFonts w:ascii="Calibri" w:cs="Calibri" w:eastAsia="Calibri" w:hAnsi="Calibri"/>
          <w:b/>
          <w:bCs/>
          <w:color w:val="1A1A1A"/>
          <w:sz w:val="24"/>
          <w:szCs w:val="24"/>
        </w:rPr>
        <w:t xml:space="preserve">2.1  Outbound SMTP is blocked</w:t>
      </w:r>
    </w:p>
    <w:p>
      <w:pPr>
        <w:spacing w:after="120" w:before="0" w:line="276"/>
      </w:pPr>
      <w:r>
        <w:rPr>
          <w:rFonts w:ascii="Calibri" w:cs="Calibri" w:eastAsia="Calibri" w:hAnsi="Calibri"/>
          <w:color w:val="1A1A1A"/>
          <w:sz w:val="21"/>
          <w:szCs w:val="21"/>
        </w:rPr>
        <w:t xml:space="preserve">Render blocks outbound traffic on ports 25, 465 and 587 for free web services. Any mail code using SMTP on the free plan does not fail loudly — it hangs and times out, which is the hardest kind of fault to diagnose. Paid instances are unaffected.</w:t>
      </w:r>
    </w:p>
    <w:p>
      <w:pPr>
        <w:spacing w:after="120" w:before="0" w:line="276"/>
      </w:pPr>
      <w:r>
        <w:rPr>
          <w:rFonts w:ascii="Calibri" w:cs="Calibri" w:eastAsia="Calibri" w:hAnsi="Calibri"/>
          <w:i/>
          <w:iCs/>
          <w:color w:val="5A5A5A"/>
          <w:sz w:val="18"/>
          <w:szCs w:val="18"/>
        </w:rPr>
        <w:t xml:space="preserve">Source: Render changelog, "Free web services will no longer allow outbound traffic to SMTP ports".</w:t>
      </w:r>
    </w:p>
    <w:p>
      <w:pPr>
        <w:pStyle w:val="Heading2"/>
        <w:spacing w:after="130" w:before="300"/>
      </w:pPr>
      <w:r>
        <w:rPr>
          <w:rFonts w:ascii="Calibri" w:cs="Calibri" w:eastAsia="Calibri" w:hAnsi="Calibri"/>
          <w:b/>
          <w:bCs/>
          <w:color w:val="1A1A1A"/>
          <w:sz w:val="24"/>
          <w:szCs w:val="24"/>
        </w:rPr>
        <w:t xml:space="preserve">2.2  Uploaded files are being deleted</w:t>
      </w:r>
    </w:p>
    <w:p>
      <w:pPr>
        <w:spacing w:after="120" w:before="0" w:line="276"/>
      </w:pPr>
      <w:r>
        <w:rPr>
          <w:rFonts w:ascii="Calibri" w:cs="Calibri" w:eastAsia="Calibri" w:hAnsi="Calibri"/>
          <w:color w:val="1A1A1A"/>
          <w:sz w:val="21"/>
          <w:szCs w:val="21"/>
        </w:rPr>
        <w:t xml:space="preserve">PD has a Library where the team uploads documents. The storage location is set by PD_LIBRARY_DIR and currently defaults to a path inside the application directory. On the free plan the filesystem is ephemeral and persistent disks are not available, so every deploy and every restart deletes the files while the database still lists them. The user sees "The file is missing from the store."</w:t>
      </w:r>
    </w:p>
    <w:p>
      <w:pPr>
        <w:spacing w:after="120" w:before="0" w:line="276"/>
      </w:pPr>
      <w:r>
        <w:rPr>
          <w:rFonts w:ascii="Calibri" w:cs="Calibri" w:eastAsia="Calibri" w:hAnsi="Calibri"/>
          <w:b/>
          <w:bCs/>
          <w:color w:val="1A1A1A"/>
          <w:sz w:val="21"/>
          <w:szCs w:val="21"/>
        </w:rPr>
        <w:t xml:space="preserve">This needs a disk attached and PD_LIBRARY_DIR pointed at its mount path. </w:t>
      </w:r>
      <w:r>
        <w:rPr>
          <w:rFonts w:ascii="Calibri" w:cs="Calibri" w:eastAsia="Calibri" w:hAnsi="Calibri"/>
          <w:color w:val="1A1A1A"/>
          <w:sz w:val="21"/>
          <w:szCs w:val="21"/>
        </w:rPr>
        <w:t xml:space="preserve">Until that is done, document upload should be switched off rather than left to lose people's work.</w:t>
      </w:r>
    </w:p>
    <w:p>
      <w:pPr>
        <w:pStyle w:val="Heading2"/>
        <w:spacing w:after="130" w:before="300"/>
      </w:pPr>
      <w:r>
        <w:rPr>
          <w:rFonts w:ascii="Calibri" w:cs="Calibri" w:eastAsia="Calibri" w:hAnsi="Calibri"/>
          <w:b/>
          <w:bCs/>
          <w:color w:val="1A1A1A"/>
          <w:sz w:val="24"/>
          <w:szCs w:val="24"/>
        </w:rPr>
        <w:t xml:space="preserve">2.3  The application sleeps</w:t>
      </w:r>
    </w:p>
    <w:p>
      <w:pPr>
        <w:spacing w:after="120" w:before="0" w:line="276"/>
      </w:pPr>
      <w:r>
        <w:rPr>
          <w:rFonts w:ascii="Calibri" w:cs="Calibri" w:eastAsia="Calibri" w:hAnsi="Calibri"/>
          <w:color w:val="1A1A1A"/>
          <w:sz w:val="21"/>
          <w:szCs w:val="21"/>
        </w:rPr>
        <w:t xml:space="preserve">Free instances spin down after inactivity, so the first person to open PD each morning waits for a cold start with no indication of what is happening. On a paid instance this stops.</w:t>
      </w:r>
    </w:p>
    <w:p>
      <w:pPr>
        <w:pStyle w:val="Heading1"/>
        <w:spacing w:after="180" w:before="380"/>
      </w:pPr>
      <w:r>
        <w:rPr>
          <w:rFonts w:ascii="Calibri" w:cs="Calibri" w:eastAsia="Calibri" w:hAnsi="Calibri"/>
          <w:b/>
          <w:bCs/>
          <w:color w:val="1A1A1A"/>
          <w:sz w:val="30"/>
          <w:szCs w:val="30"/>
        </w:rPr>
        <w:t xml:space="preserve">3. What to configure</w:t>
      </w:r>
    </w:p>
    <w:p>
      <w:pPr>
        <w:pStyle w:val="Heading2"/>
        <w:spacing w:after="130" w:before="300"/>
      </w:pPr>
      <w:r>
        <w:rPr>
          <w:rFonts w:ascii="Calibri" w:cs="Calibri" w:eastAsia="Calibri" w:hAnsi="Calibri"/>
          <w:b/>
          <w:bCs/>
          <w:color w:val="1A1A1A"/>
          <w:sz w:val="24"/>
          <w:szCs w:val="24"/>
        </w:rPr>
        <w:t xml:space="preserve">3.1  Render</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1900"/>
        <w:gridCol w:w="7300"/>
      </w:tblGrid>
      <w:tr>
        <w:trPr>
          <w:tblHeader/>
        </w:trPr>
        <w:tc>
          <w:tcPr>
            <w:tcW w:type="dxa" w:w="19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Step</w:t>
            </w:r>
          </w:p>
        </w:tc>
        <w:tc>
          <w:tcPr>
            <w:tcW w:type="dxa" w:w="73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Detail</w:t>
            </w:r>
          </w:p>
        </w:tc>
      </w:tr>
      <w:tr>
        <w:tc>
          <w:tcPr>
            <w:tcW w:type="dxa" w:w="1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Upgrade the instance</w:t>
            </w:r>
          </w:p>
        </w:tc>
        <w:tc>
          <w:tcPr>
            <w:tcW w:type="dxa" w:w="73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van-control-tower → Settings → Instance Type → Starter ($7/month). This alone unblocks SMTP and stops the sleeping.</w:t>
            </w:r>
          </w:p>
        </w:tc>
      </w:tr>
      <w:tr>
        <w:tc>
          <w:tcPr>
            <w:tcW w:type="dxa" w:w="1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Attach a disk</w:t>
            </w:r>
          </w:p>
        </w:tc>
        <w:tc>
          <w:tcPr>
            <w:tcW w:type="dxa" w:w="73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Render dashboard → Disks → Add Disk. 1 GB is ample (the Library caps uploads at 15 MB each). Note the mount path you choose.</w:t>
            </w:r>
          </w:p>
        </w:tc>
      </w:tr>
      <w:tr>
        <w:tc>
          <w:tcPr>
            <w:tcW w:type="dxa" w:w="1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Set PD_LIBRARY_DIR</w:t>
            </w:r>
          </w:p>
        </w:tc>
        <w:tc>
          <w:tcPr>
            <w:tcW w:type="dxa" w:w="73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Environment → add PD_LIBRARY_DIR set to the disk mount path. Without this the application keeps writing to ephemeral storage and the disk sits unused.</w:t>
            </w:r>
          </w:p>
        </w:tc>
      </w:tr>
      <w:tr>
        <w:tc>
          <w:tcPr>
            <w:tcW w:type="dxa" w:w="1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Confirm SESSION_SECRET</w:t>
            </w:r>
          </w:p>
        </w:tc>
        <w:tc>
          <w:tcPr>
            <w:tcW w:type="dxa" w:w="73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It must be set to a fixed value. If it is missing the application generates a new random one on every boot, which silently signs every user out on each deploy. The code logs a warning at startup when this happens — worth checking the logs once.</w:t>
            </w:r>
          </w:p>
        </w:tc>
      </w:tr>
    </w:tbl>
    <w:p>
      <w:pPr>
        <w:spacing w:after="120" w:before="140" w:line="276"/>
      </w:pPr>
      <w:r>
        <w:rPr>
          <w:rFonts w:ascii="Calibri" w:cs="Calibri" w:eastAsia="Calibri" w:hAnsi="Calibri"/>
          <w:color w:val="1A1A1A"/>
          <w:sz w:val="21"/>
          <w:szCs w:val="21"/>
        </w:rPr>
        <w:t xml:space="preserve">The repository's render.yaml declares plan: free and has no disk block. It should be updated to match whatever is configured in the dashboard, so a future redeploy from the blueprint does not quietly revert the instance type:</w:t>
      </w:r>
    </w:p>
    <w:p>
      <w:pPr>
        <w:spacing w:after="0" w:line="236"/>
        <w:ind w:left="320"/>
      </w:pPr>
      <w:r>
        <w:rPr>
          <w:rFonts w:ascii="Consolas" w:cs="Consolas" w:eastAsia="Consolas" w:hAnsi="Consolas"/>
          <w:color w:val="333333"/>
          <w:sz w:val="17"/>
          <w:szCs w:val="17"/>
        </w:rPr>
        <w:t xml:space="preserve">services:</w:t>
      </w:r>
    </w:p>
    <w:p>
      <w:pPr>
        <w:spacing w:after="0" w:line="236"/>
        <w:ind w:left="320"/>
      </w:pPr>
      <w:r>
        <w:rPr>
          <w:rFonts w:ascii="Consolas" w:cs="Consolas" w:eastAsia="Consolas" w:hAnsi="Consolas"/>
          <w:color w:val="333333"/>
          <w:sz w:val="17"/>
          <w:szCs w:val="17"/>
        </w:rPr>
        <w:t xml:space="preserve">  - type: web</w:t>
      </w:r>
    </w:p>
    <w:p>
      <w:pPr>
        <w:spacing w:after="0" w:line="236"/>
        <w:ind w:left="320"/>
      </w:pPr>
      <w:r>
        <w:rPr>
          <w:rFonts w:ascii="Consolas" w:cs="Consolas" w:eastAsia="Consolas" w:hAnsi="Consolas"/>
          <w:color w:val="333333"/>
          <w:sz w:val="17"/>
          <w:szCs w:val="17"/>
        </w:rPr>
        <w:t xml:space="preserve">    name: van-control-tower</w:t>
      </w:r>
    </w:p>
    <w:p>
      <w:pPr>
        <w:spacing w:after="0" w:line="236"/>
        <w:ind w:left="320"/>
      </w:pPr>
      <w:r>
        <w:rPr>
          <w:rFonts w:ascii="Consolas" w:cs="Consolas" w:eastAsia="Consolas" w:hAnsi="Consolas"/>
          <w:color w:val="333333"/>
          <w:sz w:val="17"/>
          <w:szCs w:val="17"/>
        </w:rPr>
        <w:t xml:space="preserve">    runtime: node</w:t>
      </w:r>
    </w:p>
    <w:p>
      <w:pPr>
        <w:spacing w:after="0" w:line="236"/>
        <w:ind w:left="320"/>
      </w:pPr>
      <w:r>
        <w:rPr>
          <w:rFonts w:ascii="Consolas" w:cs="Consolas" w:eastAsia="Consolas" w:hAnsi="Consolas"/>
          <w:color w:val="333333"/>
          <w:sz w:val="17"/>
          <w:szCs w:val="17"/>
        </w:rPr>
        <w:t xml:space="preserve">    plan: starter                # was: free</w:t>
      </w:r>
    </w:p>
    <w:p>
      <w:pPr>
        <w:spacing w:after="0" w:line="236"/>
        <w:ind w:left="320"/>
      </w:pPr>
      <w:r>
        <w:rPr>
          <w:rFonts w:ascii="Consolas" w:cs="Consolas" w:eastAsia="Consolas" w:hAnsi="Consolas"/>
          <w:color w:val="333333"/>
          <w:sz w:val="17"/>
          <w:szCs w:val="17"/>
        </w:rPr>
        <w:t xml:space="preserve">    buildCommand: npm install</w:t>
      </w:r>
    </w:p>
    <w:p>
      <w:pPr>
        <w:spacing w:after="0" w:line="236"/>
        <w:ind w:left="320"/>
      </w:pPr>
      <w:r>
        <w:rPr>
          <w:rFonts w:ascii="Consolas" w:cs="Consolas" w:eastAsia="Consolas" w:hAnsi="Consolas"/>
          <w:color w:val="333333"/>
          <w:sz w:val="17"/>
          <w:szCs w:val="17"/>
        </w:rPr>
        <w:t xml:space="preserve">    startCommand: node server.js</w:t>
      </w:r>
    </w:p>
    <w:p>
      <w:pPr>
        <w:spacing w:after="0" w:line="236"/>
        <w:ind w:left="320"/>
      </w:pPr>
      <w:r>
        <w:rPr>
          <w:rFonts w:ascii="Consolas" w:cs="Consolas" w:eastAsia="Consolas" w:hAnsi="Consolas"/>
          <w:color w:val="333333"/>
          <w:sz w:val="17"/>
          <w:szCs w:val="17"/>
        </w:rPr>
        <w:t xml:space="preserve">    disk:</w:t>
      </w:r>
    </w:p>
    <w:p>
      <w:pPr>
        <w:spacing w:after="0" w:line="236"/>
        <w:ind w:left="320"/>
      </w:pPr>
      <w:r>
        <w:rPr>
          <w:rFonts w:ascii="Consolas" w:cs="Consolas" w:eastAsia="Consolas" w:hAnsi="Consolas"/>
          <w:color w:val="333333"/>
          <w:sz w:val="17"/>
          <w:szCs w:val="17"/>
        </w:rPr>
        <w:t xml:space="preserve">      name: pd-library</w:t>
      </w:r>
    </w:p>
    <w:p>
      <w:pPr>
        <w:spacing w:after="0" w:line="236"/>
        <w:ind w:left="320"/>
      </w:pPr>
      <w:r>
        <w:rPr>
          <w:rFonts w:ascii="Consolas" w:cs="Consolas" w:eastAsia="Consolas" w:hAnsi="Consolas"/>
          <w:color w:val="333333"/>
          <w:sz w:val="17"/>
          <w:szCs w:val="17"/>
        </w:rPr>
        <w:t xml:space="preserve">      mountPath: /var/data       # must match PD_LIBRARY_DIR</w:t>
      </w:r>
    </w:p>
    <w:p>
      <w:pPr>
        <w:spacing w:after="0" w:line="236"/>
        <w:ind w:left="320"/>
      </w:pPr>
      <w:r>
        <w:rPr>
          <w:rFonts w:ascii="Consolas" w:cs="Consolas" w:eastAsia="Consolas" w:hAnsi="Consolas"/>
          <w:color w:val="333333"/>
          <w:sz w:val="17"/>
          <w:szCs w:val="17"/>
        </w:rPr>
        <w:t xml:space="preserve">      sizeGB: 1</w:t>
      </w:r>
    </w:p>
    <w:p>
      <w:pPr>
        <w:spacing w:after="0" w:line="236"/>
        <w:ind w:left="320"/>
      </w:pPr>
      <w:r>
        <w:rPr>
          <w:rFonts w:ascii="Consolas" w:cs="Consolas" w:eastAsia="Consolas" w:hAnsi="Consolas"/>
          <w:color w:val="333333"/>
          <w:sz w:val="17"/>
          <w:szCs w:val="17"/>
        </w:rPr>
        <w:t xml:space="preserve">    envVars:</w:t>
      </w:r>
    </w:p>
    <w:p>
      <w:pPr>
        <w:spacing w:after="0" w:line="236"/>
        <w:ind w:left="320"/>
      </w:pPr>
      <w:r>
        <w:rPr>
          <w:rFonts w:ascii="Consolas" w:cs="Consolas" w:eastAsia="Consolas" w:hAnsi="Consolas"/>
          <w:color w:val="333333"/>
          <w:sz w:val="17"/>
          <w:szCs w:val="17"/>
        </w:rPr>
        <w:t xml:space="preserve">      - key: DATABASE_URL</w:t>
      </w:r>
    </w:p>
    <w:p>
      <w:pPr>
        <w:spacing w:after="0" w:line="236"/>
        <w:ind w:left="320"/>
      </w:pPr>
      <w:r>
        <w:rPr>
          <w:rFonts w:ascii="Consolas" w:cs="Consolas" w:eastAsia="Consolas" w:hAnsi="Consolas"/>
          <w:color w:val="333333"/>
          <w:sz w:val="17"/>
          <w:szCs w:val="17"/>
        </w:rPr>
        <w:t xml:space="preserve">        sync: false</w:t>
      </w:r>
    </w:p>
    <w:p>
      <w:pPr>
        <w:spacing w:after="0" w:line="236"/>
        <w:ind w:left="320"/>
      </w:pPr>
      <w:r>
        <w:rPr>
          <w:rFonts w:ascii="Consolas" w:cs="Consolas" w:eastAsia="Consolas" w:hAnsi="Consolas"/>
          <w:color w:val="333333"/>
          <w:sz w:val="17"/>
          <w:szCs w:val="17"/>
        </w:rPr>
        <w:t xml:space="preserve">      - key: SESSION_SECRET</w:t>
      </w:r>
    </w:p>
    <w:p>
      <w:pPr>
        <w:spacing w:after="0" w:line="236"/>
        <w:ind w:left="320"/>
      </w:pPr>
      <w:r>
        <w:rPr>
          <w:rFonts w:ascii="Consolas" w:cs="Consolas" w:eastAsia="Consolas" w:hAnsi="Consolas"/>
          <w:color w:val="333333"/>
          <w:sz w:val="17"/>
          <w:szCs w:val="17"/>
        </w:rPr>
        <w:t xml:space="preserve">        sync: false</w:t>
      </w:r>
    </w:p>
    <w:p>
      <w:pPr>
        <w:spacing w:after="0" w:line="236"/>
        <w:ind w:left="320"/>
      </w:pPr>
      <w:r>
        <w:rPr>
          <w:rFonts w:ascii="Consolas" w:cs="Consolas" w:eastAsia="Consolas" w:hAnsi="Consolas"/>
          <w:color w:val="333333"/>
          <w:sz w:val="17"/>
          <w:szCs w:val="17"/>
        </w:rPr>
        <w:t xml:space="preserve">      - key: PD_LIBRARY_DIR</w:t>
      </w:r>
    </w:p>
    <w:p>
      <w:pPr>
        <w:spacing w:after="0" w:line="236"/>
        <w:ind w:left="320"/>
      </w:pPr>
      <w:r>
        <w:rPr>
          <w:rFonts w:ascii="Consolas" w:cs="Consolas" w:eastAsia="Consolas" w:hAnsi="Consolas"/>
          <w:color w:val="333333"/>
          <w:sz w:val="17"/>
          <w:szCs w:val="17"/>
        </w:rPr>
        <w:t xml:space="preserve">        sync: false</w:t>
      </w:r>
    </w:p>
    <w:p>
      <w:pPr>
        <w:spacing w:after="0" w:line="236"/>
        <w:ind w:left="320"/>
      </w:pPr>
      <w:r>
        <w:rPr>
          <w:rFonts w:ascii="Consolas" w:cs="Consolas" w:eastAsia="Consolas" w:hAnsi="Consolas"/>
          <w:color w:val="333333"/>
          <w:sz w:val="17"/>
          <w:szCs w:val="17"/>
        </w:rPr>
        <w:t xml:space="preserve">      # mail — see section 3.2</w:t>
      </w:r>
    </w:p>
    <w:p>
      <w:pPr>
        <w:spacing w:after="0" w:line="236"/>
        <w:ind w:left="320"/>
      </w:pPr>
      <w:r>
        <w:rPr>
          <w:rFonts w:ascii="Consolas" w:cs="Consolas" w:eastAsia="Consolas" w:hAnsi="Consolas"/>
          <w:color w:val="333333"/>
          <w:sz w:val="17"/>
          <w:szCs w:val="17"/>
        </w:rPr>
        <w:t xml:space="preserve">      - key: MAIL_TRANSPORT</w:t>
      </w:r>
    </w:p>
    <w:p>
      <w:pPr>
        <w:spacing w:after="0" w:line="236"/>
        <w:ind w:left="320"/>
      </w:pPr>
      <w:r>
        <w:rPr>
          <w:rFonts w:ascii="Consolas" w:cs="Consolas" w:eastAsia="Consolas" w:hAnsi="Consolas"/>
          <w:color w:val="333333"/>
          <w:sz w:val="17"/>
          <w:szCs w:val="17"/>
        </w:rPr>
        <w:t xml:space="preserve">        sync: false</w:t>
      </w:r>
    </w:p>
    <w:p>
      <w:pPr>
        <w:spacing w:after="0" w:line="236"/>
        <w:ind w:left="320"/>
      </w:pPr>
      <w:r>
        <w:rPr>
          <w:rFonts w:ascii="Consolas" w:cs="Consolas" w:eastAsia="Consolas" w:hAnsi="Consolas"/>
          <w:color w:val="333333"/>
          <w:sz w:val="17"/>
          <w:szCs w:val="17"/>
        </w:rPr>
        <w:t xml:space="preserve">      - key: MAIL_FROM</w:t>
      </w:r>
    </w:p>
    <w:p>
      <w:pPr>
        <w:spacing w:after="140" w:line="236"/>
        <w:ind w:left="320"/>
      </w:pPr>
      <w:r>
        <w:rPr>
          <w:rFonts w:ascii="Consolas" w:cs="Consolas" w:eastAsia="Consolas" w:hAnsi="Consolas"/>
          <w:color w:val="333333"/>
          <w:sz w:val="17"/>
          <w:szCs w:val="17"/>
        </w:rPr>
        <w:t xml:space="preserve">        sync: false</w:t>
      </w:r>
    </w:p>
    <w:p>
      <w:pPr>
        <w:spacing w:after="120" w:before="0" w:line="276"/>
      </w:pPr>
      <w:r>
        <w:rPr>
          <w:rFonts w:ascii="Calibri" w:cs="Calibri" w:eastAsia="Calibri" w:hAnsi="Calibri"/>
          <w:i/>
          <w:iCs/>
          <w:color w:val="5A5A5A"/>
          <w:sz w:val="19"/>
          <w:szCs w:val="19"/>
        </w:rPr>
        <w:t xml:space="preserve">Treat the block above as indicative rather than copy-paste — confirm the current field names against Render's blueprint documentation before committing it.</w:t>
      </w:r>
    </w:p>
    <w:p>
      <w:pPr>
        <w:pStyle w:val="Heading2"/>
        <w:spacing w:after="130" w:before="300"/>
      </w:pPr>
      <w:r>
        <w:rPr>
          <w:rFonts w:ascii="Calibri" w:cs="Calibri" w:eastAsia="Calibri" w:hAnsi="Calibri"/>
          <w:b/>
          <w:bCs/>
          <w:color w:val="1A1A1A"/>
          <w:sz w:val="24"/>
          <w:szCs w:val="24"/>
        </w:rPr>
        <w:t xml:space="preserve">3.2  Mail</w:t>
      </w:r>
    </w:p>
    <w:p>
      <w:pPr>
        <w:spacing w:after="120" w:before="0" w:line="276"/>
      </w:pPr>
      <w:r>
        <w:rPr>
          <w:rFonts w:ascii="Calibri" w:cs="Calibri" w:eastAsia="Calibri" w:hAnsi="Calibri"/>
          <w:color w:val="1A1A1A"/>
          <w:sz w:val="21"/>
          <w:szCs w:val="21"/>
        </w:rPr>
        <w:t xml:space="preserve">With a paid instance, SMTP is available and all of the options below work. The trade-off is deliverability rather than capability.</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2500"/>
        <w:gridCol w:w="3100"/>
        <w:gridCol w:w="3600"/>
      </w:tblGrid>
      <w:tr>
        <w:trPr>
          <w:tblHeader/>
        </w:trPr>
        <w:tc>
          <w:tcPr>
            <w:tcW w:type="dxa" w:w="25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Option</w:t>
            </w:r>
          </w:p>
        </w:tc>
        <w:tc>
          <w:tcPr>
            <w:tcW w:type="dxa" w:w="31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What it needs</w:t>
            </w:r>
          </w:p>
        </w:tc>
        <w:tc>
          <w:tcPr>
            <w:tcW w:type="dxa" w:w="36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Trade-off</w:t>
            </w:r>
          </w:p>
        </w:tc>
      </w:tr>
      <w:tr>
        <w:tc>
          <w:tcPr>
            <w:tcW w:type="dxa" w:w="25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SMTP on the HostGator/cPanel host where the database already lives</w:t>
            </w:r>
          </w:p>
        </w:tc>
        <w:tc>
          <w:tcPr>
            <w:tcW w:type="dxa" w:w="31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 mailbox on the domain, plus host, port, username and password. No new supplier, no new account.</w:t>
            </w:r>
          </w:p>
        </w:tc>
        <w:tc>
          <w:tcPr>
            <w:tcW w:type="dxa" w:w="36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Cheapest and closest to what VAN already runs. Shared-host IP reputation is variable, so mail to Gmail may land in spam without SPF and DKIM set up properly.</w:t>
            </w:r>
          </w:p>
        </w:tc>
      </w:tr>
      <w:tr>
        <w:tc>
          <w:tcPr>
            <w:tcW w:type="dxa" w:w="25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Google Workspace SMTP</w:t>
            </w:r>
          </w:p>
        </w:tc>
        <w:tc>
          <w:tcPr>
            <w:tcW w:type="dxa" w:w="31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An app password on a Workspace account, or OAuth.</w:t>
            </w:r>
          </w:p>
        </w:tc>
        <w:tc>
          <w:tcPr>
            <w:tcW w:type="dxa" w:w="36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Simple if VAN already pays for Workspace. Sending limits apply, and application mail relayed through a personal mailbox is easy to get wrong.</w:t>
            </w:r>
          </w:p>
        </w:tc>
      </w:tr>
      <w:tr>
        <w:tc>
          <w:tcPr>
            <w:tcW w:type="dxa" w:w="25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 transactional service (Resend, Brevo, SendGrid, Mailgun, Amazon SES)</w:t>
            </w:r>
          </w:p>
        </w:tc>
        <w:tc>
          <w:tcPr>
            <w:tcW w:type="dxa" w:w="31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An account, a verified sending domain, and an API key.</w:t>
            </w:r>
          </w:p>
        </w:tc>
        <w:tc>
          <w:tcPr>
            <w:tcW w:type="dxa" w:w="36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Best deliverability and gives you bounce and delivery logs, which matter when someone says "I never got told". Free tiers are far beyond what eight people generate — Resend is 3,000 emails a month free, Brevo 300 a day. Amazon SES is the cheapest at volume but the most setup.</w:t>
            </w:r>
          </w:p>
        </w:tc>
      </w:tr>
    </w:tbl>
    <w:p>
      <w:pPr>
        <w:spacing w:after="120" w:before="0" w:line="276"/>
      </w:pPr>
      <w:r>
        <w:rPr>
          <w:rFonts w:ascii="Calibri" w:cs="Calibri" w:eastAsia="Calibri" w:hAnsi="Calibri"/>
          <w:b/>
          <w:bCs/>
          <w:color w:val="1A1A1A"/>
          <w:sz w:val="21"/>
          <w:szCs w:val="21"/>
        </w:rPr>
        <w:t xml:space="preserve">A view, not a decision: </w:t>
      </w:r>
      <w:r>
        <w:rPr>
          <w:rFonts w:ascii="Calibri" w:cs="Calibri" w:eastAsia="Calibri" w:hAnsi="Calibri"/>
          <w:color w:val="1A1A1A"/>
          <w:sz w:val="21"/>
          <w:szCs w:val="21"/>
        </w:rPr>
        <w:t xml:space="preserve">for a team of eight the volume is trivial, so the only thing that actually matters is whether the mail reaches an inbox. A transactional service with a verified VAN domain is the most reliable, and its delivery log is worth having the first time somebody says they were never told. The cPanel option is perfectly workable if SPF and DKIM are configured — it just makes a spam problem harder to diagnose because there is no log to look at.</w:t>
      </w:r>
    </w:p>
    <w:p>
      <w:pPr>
        <w:pStyle w:val="Heading2"/>
        <w:spacing w:after="130" w:before="300"/>
      </w:pPr>
      <w:r>
        <w:rPr>
          <w:rFonts w:ascii="Calibri" w:cs="Calibri" w:eastAsia="Calibri" w:hAnsi="Calibri"/>
          <w:b/>
          <w:bCs/>
          <w:color w:val="1A1A1A"/>
          <w:sz w:val="24"/>
          <w:szCs w:val="24"/>
        </w:rPr>
        <w:t xml:space="preserve">3.3  The sending domain</w:t>
      </w:r>
    </w:p>
    <w:p>
      <w:pPr>
        <w:spacing w:after="120" w:before="0" w:line="276"/>
      </w:pPr>
      <w:r>
        <w:rPr>
          <w:rFonts w:ascii="Calibri" w:cs="Calibri" w:eastAsia="Calibri" w:hAnsi="Calibri"/>
          <w:color w:val="1A1A1A"/>
          <w:sz w:val="21"/>
          <w:szCs w:val="21"/>
        </w:rPr>
        <w:t xml:space="preserve">It has been decided that mail sends from a VAN domain whose DNS we control. Whichever option is chosen, three DNS records at the registrar make the difference between arriving and being filtered:</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1700"/>
        <w:gridCol w:w="7500"/>
      </w:tblGrid>
      <w:tr>
        <w:trPr>
          <w:tblHeader/>
        </w:trPr>
        <w:tc>
          <w:tcPr>
            <w:tcW w:type="dxa" w:w="17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Record</w:t>
            </w:r>
          </w:p>
        </w:tc>
        <w:tc>
          <w:tcPr>
            <w:tcW w:type="dxa" w:w="75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What it does</w:t>
            </w:r>
          </w:p>
        </w:tc>
      </w:tr>
      <w:tr>
        <w:tc>
          <w:tcPr>
            <w:tcW w:type="dxa" w:w="17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SPF (a TXT record)</w:t>
            </w:r>
          </w:p>
        </w:tc>
        <w:tc>
          <w:tcPr>
            <w:tcW w:type="dxa" w:w="75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Names which servers are allowed to send as the domain. Without it, mail is frequently rejected or filtered. If a record already exists, it must be merged rather than duplicated — two SPF records on one domain break it.</w:t>
            </w:r>
          </w:p>
        </w:tc>
      </w:tr>
      <w:tr>
        <w:tc>
          <w:tcPr>
            <w:tcW w:type="dxa" w:w="17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DKIM (a TXT record)</w:t>
            </w:r>
          </w:p>
        </w:tc>
        <w:tc>
          <w:tcPr>
            <w:tcW w:type="dxa" w:w="75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Signs each message so the receiving server can prove it was not tampered with. The provider supplies the exact record.</w:t>
            </w:r>
          </w:p>
        </w:tc>
      </w:tr>
      <w:tr>
        <w:tc>
          <w:tcPr>
            <w:tcW w:type="dxa" w:w="17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DMARC (a TXT record)</w:t>
            </w:r>
          </w:p>
        </w:tc>
        <w:tc>
          <w:tcPr>
            <w:tcW w:type="dxa" w:w="75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Tells receivers what to do when SPF or DKIM fails, and gives reports. Start at p=none so nothing is rejected while it is being set up.</w:t>
            </w:r>
          </w:p>
        </w:tc>
      </w:tr>
    </w:tbl>
    <w:p>
      <w:pPr>
        <w:spacing w:after="120" w:before="120" w:line="276"/>
      </w:pPr>
      <w:r>
        <w:rPr>
          <w:rFonts w:ascii="Calibri" w:cs="Calibri" w:eastAsia="Calibri" w:hAnsi="Calibri"/>
          <w:color w:val="1A1A1A"/>
          <w:sz w:val="21"/>
          <w:szCs w:val="21"/>
        </w:rPr>
        <w:t xml:space="preserve">Suggested sending address: something like pd@ or noreply@ on the VAN domain, with a real reply-to address so a person who replies reaches somebody. The application reads it from MAIL_FROM.</w:t>
      </w:r>
    </w:p>
    <w:p>
      <w:pPr>
        <w:pStyle w:val="Heading1"/>
        <w:spacing w:after="180" w:before="380"/>
      </w:pPr>
      <w:r>
        <w:rPr>
          <w:rFonts w:ascii="Calibri" w:cs="Calibri" w:eastAsia="Calibri" w:hAnsi="Calibri"/>
          <w:b/>
          <w:bCs/>
          <w:color w:val="1A1A1A"/>
          <w:sz w:val="30"/>
          <w:szCs w:val="30"/>
        </w:rPr>
        <w:t xml:space="preserve">4. What the application will do with this</w:t>
      </w:r>
    </w:p>
    <w:p>
      <w:pPr>
        <w:spacing w:after="120" w:before="0" w:line="276"/>
      </w:pPr>
      <w:r>
        <w:rPr>
          <w:rFonts w:ascii="Calibri" w:cs="Calibri" w:eastAsia="Calibri" w:hAnsi="Calibri"/>
          <w:color w:val="1A1A1A"/>
          <w:sz w:val="21"/>
          <w:szCs w:val="21"/>
        </w:rPr>
        <w:t xml:space="preserve">The notification layer being written now sends at four moments, matching what the original system did:</w:t>
      </w:r>
    </w:p>
    <w:p>
      <w:pPr>
        <w:pStyle w:val="ListParagraph"/>
        <w:numPr>
          <w:ilvl w:val="0"/>
          <w:numId w:val="2"/>
        </w:numPr>
        <w:spacing w:after="90" w:line="268"/>
      </w:pPr>
      <w:r>
        <w:rPr>
          <w:rFonts w:ascii="Calibri" w:cs="Calibri" w:eastAsia="Calibri" w:hAnsi="Calibri"/>
          <w:color w:val="1A1A1A"/>
          <w:sz w:val="21"/>
          <w:szCs w:val="21"/>
        </w:rPr>
        <w:t xml:space="preserve">An idea is screened at G1 — the submitter is told the decision and the reason. This is the one the briefing promises.</w:t>
      </w:r>
    </w:p>
    <w:p>
      <w:pPr>
        <w:pStyle w:val="ListParagraph"/>
        <w:numPr>
          <w:ilvl w:val="0"/>
          <w:numId w:val="2"/>
        </w:numPr>
        <w:spacing w:after="90" w:line="268"/>
      </w:pPr>
      <w:r>
        <w:rPr>
          <w:rFonts w:ascii="Calibri" w:cs="Calibri" w:eastAsia="Calibri" w:hAnsi="Calibri"/>
          <w:color w:val="1A1A1A"/>
          <w:sz w:val="21"/>
          <w:szCs w:val="21"/>
        </w:rPr>
        <w:t xml:space="preserve">A design is signed at G2 under delegated authority, or a gate is decided by a site quorum — the COO is told there is something to ratify.</w:t>
      </w:r>
    </w:p>
    <w:p>
      <w:pPr>
        <w:pStyle w:val="ListParagraph"/>
        <w:numPr>
          <w:ilvl w:val="0"/>
          <w:numId w:val="2"/>
        </w:numPr>
        <w:spacing w:after="90" w:line="268"/>
      </w:pPr>
      <w:r>
        <w:rPr>
          <w:rFonts w:ascii="Calibri" w:cs="Calibri" w:eastAsia="Calibri" w:hAnsi="Calibri"/>
          <w:color w:val="1A1A1A"/>
          <w:sz w:val="21"/>
          <w:szCs w:val="21"/>
        </w:rPr>
        <w:t xml:space="preserve">A light-lane idea is screened by someone other than the COO — the COO gets it in the reversal-window digest.</w:t>
      </w:r>
    </w:p>
    <w:p>
      <w:pPr>
        <w:pStyle w:val="ListParagraph"/>
        <w:numPr>
          <w:ilvl w:val="0"/>
          <w:numId w:val="2"/>
        </w:numPr>
        <w:spacing w:after="90" w:line="268"/>
      </w:pPr>
      <w:r>
        <w:rPr>
          <w:rFonts w:ascii="Calibri" w:cs="Calibri" w:eastAsia="Calibri" w:hAnsi="Calibri"/>
          <w:color w:val="1A1A1A"/>
          <w:sz w:val="21"/>
          <w:szCs w:val="21"/>
        </w:rPr>
        <w:t xml:space="preserve">A new drop-box entry arrives from outside — the Registrar is told there is something to triage.</w:t>
      </w:r>
    </w:p>
    <w:p>
      <w:pPr>
        <w:spacing w:after="120" w:before="0" w:line="276"/>
      </w:pPr>
      <w:r>
        <w:rPr>
          <w:rFonts w:ascii="Calibri" w:cs="Calibri" w:eastAsia="Calibri" w:hAnsi="Calibri"/>
          <w:b/>
          <w:bCs/>
          <w:color w:val="1A1A1A"/>
          <w:sz w:val="21"/>
          <w:szCs w:val="21"/>
        </w:rPr>
        <w:t xml:space="preserve">It is written to be inert until configured. </w:t>
      </w:r>
      <w:r>
        <w:rPr>
          <w:rFonts w:ascii="Calibri" w:cs="Calibri" w:eastAsia="Calibri" w:hAnsi="Calibri"/>
          <w:color w:val="1A1A1A"/>
          <w:sz w:val="21"/>
          <w:szCs w:val="21"/>
        </w:rPr>
        <w:t xml:space="preserve">If MAIL_TRANSPORT is unset the application behaves exactly as it does today — nothing is sent, nothing errors, and no screen changes. Sending failures are logged and never block the action that caused them, so a mail outage cannot stop somebody screening an idea.</w:t>
      </w:r>
    </w:p>
    <w:p>
      <w:pPr>
        <w:pStyle w:val="Heading1"/>
        <w:spacing w:after="180" w:before="380"/>
      </w:pPr>
      <w:r>
        <w:rPr>
          <w:rFonts w:ascii="Calibri" w:cs="Calibri" w:eastAsia="Calibri" w:hAnsi="Calibri"/>
          <w:b/>
          <w:bCs/>
          <w:color w:val="1A1A1A"/>
          <w:sz w:val="30"/>
          <w:szCs w:val="30"/>
        </w:rPr>
        <w:t xml:space="preserve">5. Sequence, and the one thing to verify afterwards</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500"/>
        <w:gridCol w:w="6800"/>
        <w:gridCol w:w="1900"/>
      </w:tblGrid>
      <w:tr>
        <w:trPr>
          <w:tblHeader/>
        </w:trPr>
        <w:tc>
          <w:tcPr>
            <w:tcW w:type="dxa" w:w="5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w:t>
            </w:r>
          </w:p>
        </w:tc>
        <w:tc>
          <w:tcPr>
            <w:tcW w:type="dxa" w:w="68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Do</w:t>
            </w:r>
          </w:p>
        </w:tc>
        <w:tc>
          <w:tcPr>
            <w:tcW w:type="dxa" w:w="19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Who</w:t>
            </w:r>
          </w:p>
        </w:tc>
      </w:tr>
      <w:tr>
        <w:tc>
          <w:tcPr>
            <w:tcW w:type="dxa" w:w="5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1</w:t>
            </w:r>
          </w:p>
        </w:tc>
        <w:tc>
          <w:tcPr>
            <w:tcW w:type="dxa" w:w="68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Upgrade the Render instance to Starter.</w:t>
            </w:r>
          </w:p>
        </w:tc>
        <w:tc>
          <w:tcPr>
            <w:tcW w:type="dxa" w:w="1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Tech</w:t>
            </w:r>
          </w:p>
        </w:tc>
      </w:tr>
      <w:tr>
        <w:tc>
          <w:tcPr>
            <w:tcW w:type="dxa" w:w="5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2</w:t>
            </w:r>
          </w:p>
        </w:tc>
        <w:tc>
          <w:tcPr>
            <w:tcW w:type="dxa" w:w="68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Attach a disk and set PD_LIBRARY_DIR to its mount path.</w:t>
            </w:r>
          </w:p>
        </w:tc>
        <w:tc>
          <w:tcPr>
            <w:tcW w:type="dxa" w:w="1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Tech</w:t>
            </w:r>
          </w:p>
        </w:tc>
      </w:tr>
      <w:tr>
        <w:tc>
          <w:tcPr>
            <w:tcW w:type="dxa" w:w="5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3</w:t>
            </w:r>
          </w:p>
        </w:tc>
        <w:tc>
          <w:tcPr>
            <w:tcW w:type="dxa" w:w="68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Confirm SESSION_SECRET is set to a fixed value; check the startup logs for the warning.</w:t>
            </w:r>
          </w:p>
        </w:tc>
        <w:tc>
          <w:tcPr>
            <w:tcW w:type="dxa" w:w="1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Tech</w:t>
            </w:r>
          </w:p>
        </w:tc>
      </w:tr>
      <w:tr>
        <w:tc>
          <w:tcPr>
            <w:tcW w:type="dxa" w:w="5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4</w:t>
            </w:r>
          </w:p>
        </w:tc>
        <w:tc>
          <w:tcPr>
            <w:tcW w:type="dxa" w:w="68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Decide the mail option, create the account or mailbox, and add SPF, DKIM and DMARC at the registrar.</w:t>
            </w:r>
          </w:p>
        </w:tc>
        <w:tc>
          <w:tcPr>
            <w:tcW w:type="dxa" w:w="1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Tech + whoever holds DNS</w:t>
            </w:r>
          </w:p>
        </w:tc>
      </w:tr>
      <w:tr>
        <w:tc>
          <w:tcPr>
            <w:tcW w:type="dxa" w:w="5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5</w:t>
            </w:r>
          </w:p>
        </w:tc>
        <w:tc>
          <w:tcPr>
            <w:tcW w:type="dxa" w:w="68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Set MAIL_TRANSPORT, MAIL_FROM and the transport credentials in the Render environment.</w:t>
            </w:r>
          </w:p>
        </w:tc>
        <w:tc>
          <w:tcPr>
            <w:tcW w:type="dxa" w:w="1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Tech</w:t>
            </w:r>
          </w:p>
        </w:tc>
      </w:tr>
      <w:tr>
        <w:tc>
          <w:tcPr>
            <w:tcW w:type="dxa" w:w="5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6</w:t>
            </w:r>
          </w:p>
        </w:tc>
        <w:tc>
          <w:tcPr>
            <w:tcW w:type="dxa" w:w="68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Update render.yaml so the blueprint matches the dashboard.</w:t>
            </w:r>
          </w:p>
        </w:tc>
        <w:tc>
          <w:tcPr>
            <w:tcW w:type="dxa" w:w="1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Tech</w:t>
            </w:r>
          </w:p>
        </w:tc>
      </w:tr>
      <w:tr>
        <w:tc>
          <w:tcPr>
            <w:tcW w:type="dxa" w:w="5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7</w:t>
            </w:r>
          </w:p>
        </w:tc>
        <w:tc>
          <w:tcPr>
            <w:tcW w:type="dxa" w:w="68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Send one test to a Gmail address and one to a Workspace address, and confirm both land in the inbox rather than spam.</w:t>
            </w:r>
          </w:p>
        </w:tc>
        <w:tc>
          <w:tcPr>
            <w:tcW w:type="dxa" w:w="1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Tech</w:t>
            </w:r>
          </w:p>
        </w:tc>
      </w:tr>
    </w:tbl>
    <w:p>
      <w:pPr>
        <w:spacing w:after="120" w:before="0" w:line="276"/>
      </w:pPr>
      <w:r>
        <w:rPr>
          <w:rFonts w:ascii="Calibri" w:cs="Calibri" w:eastAsia="Calibri" w:hAnsi="Calibri"/>
          <w:b/>
          <w:bCs/>
          <w:color w:val="1A1A1A"/>
          <w:sz w:val="21"/>
          <w:szCs w:val="21"/>
        </w:rPr>
        <w:t xml:space="preserve">Step 7 is the one that gets skipped and matters most. </w:t>
      </w:r>
      <w:r>
        <w:rPr>
          <w:rFonts w:ascii="Calibri" w:cs="Calibri" w:eastAsia="Calibri" w:hAnsi="Calibri"/>
          <w:color w:val="1A1A1A"/>
          <w:sz w:val="21"/>
          <w:szCs w:val="21"/>
        </w:rPr>
        <w:t xml:space="preserve">Mail that sends successfully and lands in spam is worse than no mail at all, because the application reports success and the person still says they were never told.</w:t>
      </w:r>
    </w:p>
    <w:p>
      <w:pPr>
        <w:pStyle w:val="Heading1"/>
        <w:spacing w:after="180" w:before="380"/>
      </w:pPr>
      <w:r>
        <w:rPr>
          <w:rFonts w:ascii="Calibri" w:cs="Calibri" w:eastAsia="Calibri" w:hAnsi="Calibri"/>
          <w:b/>
          <w:bCs/>
          <w:color w:val="1A1A1A"/>
          <w:sz w:val="30"/>
          <w:szCs w:val="30"/>
        </w:rPr>
        <w:t xml:space="preserve">6. One security item to fix at the same time</w:t>
      </w:r>
    </w:p>
    <w:p>
      <w:pPr>
        <w:spacing w:after="120" w:before="0" w:line="276"/>
      </w:pPr>
      <w:r>
        <w:rPr>
          <w:rFonts w:ascii="Calibri" w:cs="Calibri" w:eastAsia="Calibri" w:hAnsi="Calibri"/>
          <w:color w:val="1A1A1A"/>
          <w:sz w:val="21"/>
          <w:szCs w:val="21"/>
        </w:rPr>
        <w:t xml:space="preserve">Unrelated to mail, but it belongs in the same maintenance window because it is an environment change rather than a code change.</w:t>
      </w:r>
    </w:p>
    <w:p>
      <w:pPr>
        <w:spacing w:after="120" w:before="0" w:line="276"/>
      </w:pPr>
      <w:r>
        <w:rPr>
          <w:rFonts w:ascii="Calibri" w:cs="Calibri" w:eastAsia="Calibri" w:hAnsi="Calibri"/>
          <w:color w:val="1A1A1A"/>
          <w:sz w:val="21"/>
          <w:szCs w:val="21"/>
        </w:rPr>
        <w:t xml:space="preserve">The application seeds eight default accounts — admin, kam, lab, cfo, plant, production, qa, supply — all with the same password, and the admin account is automatically granted the highest PD role on first migration. </w:t>
      </w:r>
      <w:r>
        <w:rPr>
          <w:rFonts w:ascii="Calibri" w:cs="Calibri" w:eastAsia="Calibri" w:hAnsi="Calibri"/>
          <w:b/>
          <w:bCs/>
          <w:color w:val="1A1A1A"/>
          <w:sz w:val="21"/>
          <w:szCs w:val="21"/>
        </w:rPr>
        <w:t xml:space="preserve">Confirm that password is not still live on the production database, and change any account where it is.</w:t>
      </w:r>
    </w:p>
    <w:p>
      <w:pPr>
        <w:spacing w:after="120" w:before="0" w:line="276"/>
      </w:pPr>
      <w:r>
        <w:rPr>
          <w:rFonts w:ascii="Calibri" w:cs="Calibri" w:eastAsia="Calibri" w:hAnsi="Calibri"/>
          <w:i/>
          <w:iCs/>
          <w:color w:val="5A5A5A"/>
          <w:sz w:val="21"/>
          <w:szCs w:val="21"/>
        </w:rPr>
        <w:t xml:space="preserve">A sign-in rate limit has been written and is in the pending patch set, but a rate limit does not help against a password that is already known.</w:t>
      </w:r>
    </w:p>
    <w:p>
      <w:pPr>
        <w:spacing w:before="300"/>
      </w:pPr>
      <w:r>
        <w:rPr>
          <w:rFonts w:ascii="Calibri" w:cs="Calibri" w:eastAsia="Calibri" w:hAnsi="Calibri"/>
          <w:i/>
          <w:iCs/>
          <w:color w:val="5A5A5A"/>
          <w:sz w:val="19"/>
          <w:szCs w:val="19"/>
        </w:rPr>
        <w:t xml:space="preserve">Prepared alongside the PD module audit. The full findings, the pending patches and the fault IDs referenced here are in E:\VAN-OP\pd\reviews\.</w:t>
      </w:r>
    </w:p>
    <w:sectPr>
      <w:footerReference w:type="default" r:id="rId7"/>
      <w:pgSz w:w="11906" w:h="16838"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VAN — Hosting &amp; Mail · 17 Aug 2026 ·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Hosting &amp; Mail — what to set up</dc:title>
  <dc:creator>VAN Operations Platform</dc:creator>
  <cp:lastModifiedBy>Un-named</cp:lastModifiedBy>
  <cp:revision>1</cp:revision>
  <dcterms:created xsi:type="dcterms:W3CDTF">2026-08-17T06:05:41.159Z</dcterms:created>
  <dcterms:modified xsi:type="dcterms:W3CDTF">2026-08-17T06:05:41.159Z</dcterms:modified>
</cp:coreProperties>
</file>

<file path=docProps/custom.xml><?xml version="1.0" encoding="utf-8"?>
<Properties xmlns="http://schemas.openxmlformats.org/officeDocument/2006/custom-properties" xmlns:vt="http://schemas.openxmlformats.org/officeDocument/2006/docPropsVTypes"/>
</file>