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Codebook for the trial-level dataset (data_deidentified.csv)</w:t>
      </w:r>
    </w:p>
    <w:p>
      <w:r>
        <w:rPr>
          <w:sz w:val="20"/>
        </w:rPr>
        <w:t>Manuscript: Olfactory Modulation of Risky Choice in Humans (BMS-CN-2025-HT5-6374-4).</w:t>
        <w:br/>
        <w:t>The file contains 28,800 rows: 96 participants × 5 sessions × 60 trials. One row = one lottery trial.</w:t>
        <w:br/>
        <w:t>Sure option = 100 MU on every trial. The risky option pays risky_amount_2 with probability risky_prob_2, and 0 otherwise. MU = monetary units; one randomly selected trial was paid out at the end of the study.</w:t>
        <w:br/>
        <w:t>Missing values are coded NA. The 180 missing values in the odor-rating columns correspond to sessions in which ratings were not recorded; models including these covariates are therefore fitted on 28,620 observations.</w:t>
        <w:br/>
        <w:t>Direct identifiers (participant name, session timestamp) have been removed.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Values / range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participant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Participant identifier (pseudonymous integer). 96 unique values.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1–103 (not contiguous)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Experimental session number. Each participant attended five sessions, ≥48 h apart.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1–5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odour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Odor condition presented in the session. BPCL = no-odor (ambient air); CDVR = cadaverine; CPRA = caproic acid; CTRL = citral; MRCN = myrcene; TMA = trimethylamine; TMB = Timberol®.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BPCL, CDVR, CPRA, CTRL, MRCN, TMA, TMB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Task label; the same value in every row.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lottery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rank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Trial number within the session.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1–60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sure_amount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Payoff of the sure option, in monetary units (MU). Constant across all trials.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location_sure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Horizontal screen position of the sure option (negative = left, positive = right).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-0.3, 0.4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risky_amount_1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Payoff of the losing outcome of the risky option, in MU. Constant.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risky_prob_1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Probability of the losing outcome of the risky option. Equals 1 − risky_prob_2.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0.25, 0.5, 0.75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risky_amount_2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Payoff of the winning outcome of the risky option, in MU. Twenty levels in steps of 20. Continuous predictor in the models.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120–500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risky_prob_2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Probability of winning the risky option. Three levels; categorical predictor in the models (reference: 0.25).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0.25, 0.5, 0.75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evrisk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Expected value of the risky option, in MU. Derived: risky_amount_2 × risky_prob_2.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30–375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location_risky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Horizontal screen position of the risky option (negative = left, positive = right).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-0.3, 0.4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chosen_button_lottery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Side of the screen the participant chose.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left, right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sure_choice_lottery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DEPENDENT VARIABLE. 1 = the sure option was chosen; 0 = the risky option was chosen. Overall proportion of sure choices: 0.494.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0, 1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reaction_time_lottery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Response time, in seconds.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0.07–77.59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Sniffing_test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Sniffin' Sticks olfactory acuity score (16-point scale), measured at screening.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7–16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Day_of_cycle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Self-reported day of the menstrual cycle at the session (female participants only). NOT used in any analysis reported in the manuscript.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1–41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17160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Intensity_pre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Perceived odor intensity rated before the task (0 = no odor detected, 10 = very intense).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0–10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Intensity_post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Perceived odor intensity rated after the task, same scale.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0–10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Familiarity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Perceived odor familiarity (0 = completely unfamiliar, 10 = completely familiar). Covariate in the models.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0–10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Valency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Perceived odor valence / pleasantness (−5 = very unpleasant, +5 = very pleasant). Covariate in the models.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-5–5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Gender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Participant gender as recorded at screening. 48 women, 48 men.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F, 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Age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Participant age in years at screening.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18–41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odor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Duplicate of the column 'odour'; identical in all 28,800 rows. Retained as recorded.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BPCL, CDVR, CPRA, CTRL, MRCN, TMA, TMB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Intensity_avg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Mean perceived intensity. Derived: (Intensity_pre + Intensity_post) / 2. Covariate in the models.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0–10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color w:val="FF0000"/>
              </w:rPr>
              <w:t xml:space="preserve">Subgroup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color w:val="FF0000"/>
              </w:rPr>
              <w:t xml:space="preserve">Ligand subgroup: which agonist and antagonist the participant received (derived from the odour conditions present for that participant). Four groups of 24. Not used in the main models; used only in the Table S12 sensitivity analysis.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color w:val="FF0000"/>
              </w:rPr>
              <w:t xml:space="preserve">CDVR/MRCN, CDVR/TMB, TMA/MRCN, TMA/TMB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color w:val="FF0000"/>
              </w:rPr>
              <w:t xml:space="preserve"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