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C3AED"/>
          <w:sz w:val="18"/>
        </w:rPr>
        <w:t>INTERNAL REFERENCE</w:t>
      </w:r>
    </w:p>
    <w:p>
      <w:pPr>
        <w:spacing w:before="0" w:after="80"/>
      </w:pPr>
      <w:r>
        <w:rPr>
          <w:rFonts w:ascii="Cambria" w:hAnsi="Cambria"/>
          <w:b/>
          <w:color w:val="3D1A78"/>
          <w:sz w:val="52"/>
        </w:rPr>
        <w:t>Revive — User Guide</w:t>
      </w:r>
    </w:p>
    <w:p>
      <w:pPr>
        <w:spacing w:after="360"/>
      </w:pPr>
      <w:r>
        <w:rPr>
          <w:i w:val="0"/>
          <w:color w:val="5B4F78"/>
          <w:sz w:val="22"/>
        </w:rPr>
        <w:t>Revive is the hospital management system covering registration through discharge, plus pharmacy, lab, radiology, billing and back-office admin. This guide covers how to get in, what each module does, and where to find it.</w:t>
      </w:r>
    </w:p>
    <w:p>
      <w:pPr>
        <w:spacing w:before="400" w:after="120"/>
        <w:pBdr>
          <w:bottom w:val="single" w:sz="6" w:color="E1D4F5" w:space="4"/>
        </w:pBdr>
      </w:pPr>
      <w:r>
        <w:rPr>
          <w:rFonts w:ascii="Cambria" w:hAnsi="Cambria"/>
          <w:b/>
          <w:color w:val="3D1A78"/>
          <w:sz w:val="30"/>
        </w:rPr>
        <w:t>Access &amp; Login</w:t>
      </w:r>
    </w:p>
    <w:p>
      <w:pPr>
        <w:spacing w:after="200"/>
      </w:pPr>
      <w:r>
        <w:rPr>
          <w:color w:val="5B4F78"/>
          <w:sz w:val="19"/>
        </w:rPr>
        <w:t>Both links below serve the same application and share one database — anything entered through one shows up in the other immediately.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color w:val="5B4F78"/>
                <w:sz w:val="16"/>
              </w:rPr>
              <w:t>RAILWAY</w:t>
            </w:r>
          </w:p>
        </w:tc>
        <w:tc>
          <w:tcPr>
            <w:tcW w:type="dxa" w:w="4873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rFonts w:ascii="Consolas" w:hAnsi="Consolas"/>
                <w:color w:val="7C3AED"/>
                <w:sz w:val="22"/>
              </w:rPr>
              <w:t>https://web-production-48952.up.railway.app</w:t>
            </w:r>
          </w:p>
        </w:tc>
      </w:tr>
      <w:tr>
        <w:tc>
          <w:tcPr>
            <w:tcW w:type="dxa" w:w="4873"/>
            <w:shd w:val="clear" w:color="auto" w:fill="EDE9FE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color w:val="5B4F78"/>
                <w:sz w:val="16"/>
              </w:rPr>
              <w:t>VERCEL</w:t>
            </w:r>
          </w:p>
        </w:tc>
        <w:tc>
          <w:tcPr>
            <w:tcW w:type="dxa" w:w="4873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rFonts w:ascii="Consolas" w:hAnsi="Consolas"/>
                <w:color w:val="7C3AED"/>
                <w:sz w:val="22"/>
              </w:rPr>
              <w:t>https://revive-tool.vercel.app</w:t>
            </w:r>
          </w:p>
        </w:tc>
      </w:tr>
      <w:tr>
        <w:tc>
          <w:tcPr>
            <w:tcW w:type="dxa" w:w="4873"/>
            <w:shd w:val="clear" w:color="auto" w:fill="EDE9FE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color w:val="5B4F78"/>
                <w:sz w:val="16"/>
              </w:rPr>
              <w:t>USERNAME</w:t>
            </w:r>
          </w:p>
        </w:tc>
        <w:tc>
          <w:tcPr>
            <w:tcW w:type="dxa" w:w="4873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rFonts w:ascii="Consolas" w:hAnsi="Consolas"/>
                <w:b/>
                <w:color w:val="3D1A78"/>
                <w:sz w:val="22"/>
              </w:rPr>
              <w:t>admin</w:t>
            </w:r>
          </w:p>
        </w:tc>
      </w:tr>
      <w:tr>
        <w:tc>
          <w:tcPr>
            <w:tcW w:type="dxa" w:w="4873"/>
            <w:shd w:val="clear" w:color="auto" w:fill="EDE9FE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color w:val="5B4F78"/>
                <w:sz w:val="16"/>
              </w:rPr>
              <w:t>PASSWORD</w:t>
            </w:r>
          </w:p>
        </w:tc>
        <w:tc>
          <w:tcPr>
            <w:tcW w:type="dxa" w:w="4873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rFonts w:ascii="Consolas" w:hAnsi="Consolas"/>
                <w:b/>
                <w:color w:val="3D1A78"/>
                <w:sz w:val="22"/>
              </w:rPr>
              <w:t>TBej4jB4qdWEtBE7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color w:val="5B4F78"/>
          <w:sz w:val="19"/>
        </w:rPr>
        <w:t>This is the SuperAdmin login — it has access to every module. Change the password after your first sign-in (Settings → Users).</w:t>
      </w:r>
    </w:p>
    <w:p>
      <w:pPr>
        <w:spacing w:before="400" w:after="120"/>
        <w:pBdr>
          <w:bottom w:val="single" w:sz="6" w:color="E1D4F5" w:space="4"/>
        </w:pBdr>
      </w:pPr>
      <w:r>
        <w:rPr>
          <w:rFonts w:ascii="Cambria" w:hAnsi="Cambria"/>
          <w:b/>
          <w:color w:val="3D1A78"/>
          <w:sz w:val="30"/>
        </w:rPr>
        <w:t>Hosting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64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sz w:val="22"/>
              </w:rPr>
              <w:t>Railway</w:t>
            </w:r>
          </w:p>
          <w:p>
            <w:r>
              <w:rPr>
                <w:b/>
                <w:color w:val="9A6400"/>
                <w:sz w:val="15"/>
              </w:rPr>
              <w:t>TRIAL CREDIT</w:t>
            </w:r>
          </w:p>
          <w:p>
            <w:pPr>
              <w:spacing w:before="80"/>
            </w:pPr>
            <w:r>
              <w:rPr>
                <w:color w:val="5B4F78"/>
                <w:sz w:val="18"/>
              </w:rPr>
              <w:t>Running on a free trial credit (~$5). About 29 days remain at the current usage rate as of Aug 17, 2026 — this depletes with actual use rather than on a fixed date, so it may last longer or shorter depending on activity.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E1D4F5"/>
              <w:left w:val="single" w:sz="4" w:color="E1D4F5"/>
              <w:bottom w:val="single" w:sz="4" w:color="E1D4F5"/>
              <w:right w:val="single" w:sz="4" w:color="E1D4F5"/>
            </w:tcBorders>
          </w:tcPr>
          <w:p>
            <w:r>
              <w:rPr>
                <w:b/>
                <w:sz w:val="22"/>
              </w:rPr>
              <w:t>Vercel</w:t>
            </w:r>
          </w:p>
          <w:p>
            <w:r>
              <w:rPr>
                <w:b/>
                <w:color w:val="157A4F"/>
                <w:sz w:val="15"/>
              </w:rPr>
              <w:t>NO EXPIRY</w:t>
            </w:r>
          </w:p>
          <w:p>
            <w:pPr>
              <w:spacing w:before="80"/>
            </w:pPr>
            <w:r>
              <w:rPr>
                <w:color w:val="5B4F78"/>
                <w:sz w:val="18"/>
              </w:rPr>
              <w:t>Running on Vercel's free Hobby tier, which doesn't expire. No trial clock on this side.</w:t>
            </w:r>
          </w:p>
        </w:tc>
      </w:tr>
    </w:tbl>
    <w:p>
      <w:pPr>
        <w:spacing w:before="400" w:after="120"/>
        <w:pBdr>
          <w:bottom w:val="single" w:sz="6" w:color="E1D4F5" w:space="4"/>
        </w:pBdr>
      </w:pPr>
      <w:r>
        <w:rPr>
          <w:rFonts w:ascii="Cambria" w:hAnsi="Cambria"/>
          <w:b/>
          <w:color w:val="3D1A78"/>
          <w:sz w:val="30"/>
        </w:rPr>
        <w:t>Getting Started</w:t>
      </w:r>
    </w:p>
    <w:p>
      <w:pPr>
        <w:pStyle w:val="ListNumber"/>
        <w:spacing w:after="120"/>
      </w:pPr>
      <w:r>
        <w:rPr>
          <w:b/>
          <w:sz w:val="21"/>
        </w:rPr>
        <w:t xml:space="preserve">Open either link above  </w:t>
      </w:r>
      <w:r>
        <w:rPr>
          <w:color w:val="5B4F78"/>
          <w:sz w:val="20"/>
        </w:rPr>
        <w:t>Both lead to the same sign-in screen.</w:t>
      </w:r>
    </w:p>
    <w:p>
      <w:pPr>
        <w:pStyle w:val="ListNumber"/>
        <w:spacing w:after="120"/>
      </w:pPr>
      <w:r>
        <w:rPr>
          <w:b/>
          <w:sz w:val="21"/>
        </w:rPr>
        <w:t xml:space="preserve">Sign in  </w:t>
      </w:r>
      <w:r>
        <w:rPr>
          <w:color w:val="5B4F78"/>
          <w:sz w:val="20"/>
        </w:rPr>
        <w:t>Use the username and password from the table above.</w:t>
      </w:r>
    </w:p>
    <w:p>
      <w:pPr>
        <w:pStyle w:val="ListNumber"/>
        <w:spacing w:after="120"/>
      </w:pPr>
      <w:r>
        <w:rPr>
          <w:b/>
          <w:sz w:val="21"/>
        </w:rPr>
        <w:t xml:space="preserve">Land on the Dashboard  </w:t>
      </w:r>
      <w:r>
        <w:rPr>
          <w:color w:val="5B4F78"/>
          <w:sz w:val="20"/>
        </w:rPr>
        <w:t>A same-day summary across every module you have access to.</w:t>
      </w:r>
    </w:p>
    <w:p>
      <w:pPr>
        <w:pStyle w:val="ListNumber"/>
        <w:spacing w:after="120"/>
      </w:pPr>
      <w:r>
        <w:rPr>
          <w:b/>
          <w:sz w:val="21"/>
        </w:rPr>
        <w:t xml:space="preserve">Pick a module from the top navigation  </w:t>
      </w:r>
      <w:r>
        <w:rPr>
          <w:color w:val="5B4F78"/>
          <w:sz w:val="20"/>
        </w:rPr>
        <w:t>Grouped as Front desk &amp; clinical, Ancillary services, Finance, and Administration — matching the sections below.</w:t>
      </w:r>
    </w:p>
    <w:p>
      <w:pPr>
        <w:spacing w:before="400" w:after="120"/>
        <w:pBdr>
          <w:bottom w:val="single" w:sz="6" w:color="E1D4F5" w:space="4"/>
        </w:pBdr>
      </w:pPr>
      <w:r>
        <w:rPr>
          <w:rFonts w:ascii="Cambria" w:hAnsi="Cambria"/>
          <w:b/>
          <w:color w:val="3D1A78"/>
          <w:sz w:val="30"/>
        </w:rPr>
        <w:t>Module Guide</w:t>
      </w:r>
    </w:p>
    <w:p>
      <w:pPr>
        <w:spacing w:before="280" w:after="40"/>
      </w:pPr>
      <w:r>
        <w:rPr>
          <w:b/>
          <w:color w:val="5B4F78"/>
          <w:sz w:val="18"/>
        </w:rPr>
        <w:t>FRONT DESK &amp; CLINICAL</w:t>
      </w:r>
    </w:p>
    <w:p>
      <w:pPr>
        <w:spacing w:after="160"/>
      </w:pPr>
      <w:r>
        <w:rPr>
          <w:i/>
          <w:color w:val="5B4F78"/>
          <w:sz w:val="19"/>
        </w:rPr>
        <w:t>Where a patient's visit starts and is tracked through to discharge.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Dashboard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/dashboard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Landing page after login. Same-day activity summary across every module.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Patients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/patients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Register new patients, search and view records, manage contact history, allergies and insurance details.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OPD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/opd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Outpatient booking, doctor schedules, consultations and prescriptions.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IPD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/ipd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Inpatient admissions, ward and bed assignment, daily clinical notes, discharge summaries.</w:t>
            </w:r>
          </w:p>
        </w:tc>
      </w:tr>
    </w:tbl>
    <w:p>
      <w:pPr>
        <w:spacing w:before="280" w:after="40"/>
      </w:pPr>
      <w:r>
        <w:rPr>
          <w:b/>
          <w:color w:val="5B4F78"/>
          <w:sz w:val="18"/>
        </w:rPr>
        <w:t>ANCILLARY SERVICES</w:t>
      </w:r>
    </w:p>
    <w:p>
      <w:pPr>
        <w:spacing w:after="160"/>
      </w:pPr>
      <w:r>
        <w:rPr>
          <w:i/>
          <w:color w:val="5B4F78"/>
          <w:sz w:val="19"/>
        </w:rPr>
        <w:t>Supporting departments a visit is routed through — dispensing, diagnostics, and imaging.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Pharmacy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/pharmacy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Drug master list, stock levels, purchase orders, goods-received (GRN), dispensing, and expiry alerts.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Lab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/lab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The full lab workflow — registration, sample collection, result entry, approval, and report — plus a settings screen for the test master and reference ranges.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Radiology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/radiology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Investigation orders and imaging reports.</w:t>
            </w:r>
          </w:p>
        </w:tc>
      </w:tr>
    </w:tbl>
    <w:p>
      <w:pPr>
        <w:spacing w:before="280" w:after="40"/>
      </w:pPr>
      <w:r>
        <w:rPr>
          <w:b/>
          <w:color w:val="5B4F78"/>
          <w:sz w:val="18"/>
        </w:rPr>
        <w:t>FINANCE</w:t>
      </w:r>
    </w:p>
    <w:p>
      <w:pPr>
        <w:spacing w:after="160"/>
      </w:pPr>
      <w:r>
        <w:rPr>
          <w:i/>
          <w:color w:val="5B4F78"/>
          <w:sz w:val="19"/>
        </w:rPr>
        <w:t>Billing a visit and reconciling it against insurance.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Billing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/billing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Bill generation, payments, receipts, and credit notes.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Insurance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/insurance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TPA (third-party administrator) records and insurance claims.</w:t>
            </w:r>
          </w:p>
        </w:tc>
      </w:tr>
    </w:tbl>
    <w:p>
      <w:pPr>
        <w:spacing w:before="280" w:after="40"/>
      </w:pPr>
      <w:r>
        <w:rPr>
          <w:b/>
          <w:color w:val="5B4F78"/>
          <w:sz w:val="18"/>
        </w:rPr>
        <w:t>ADMINISTRATION</w:t>
      </w:r>
    </w:p>
    <w:p>
      <w:pPr>
        <w:spacing w:after="160"/>
      </w:pPr>
      <w:r>
        <w:rPr>
          <w:i/>
          <w:color w:val="5B4F78"/>
          <w:sz w:val="19"/>
        </w:rPr>
        <w:t>Running the hospital as an organization — staff, payroll, reporting, and system configuration.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HR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/hr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Employee records, shifts, attendance, and leave requests.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Payroll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/payroll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Salary structures and monthly pay runs.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Reports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/reports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Patient, appointment, OP/IP service, insurance, and referral reports.</w:t>
            </w:r>
          </w:p>
        </w:tc>
      </w:tr>
      <w:tr>
        <w:tc>
          <w:tcPr>
            <w:tcW w:type="dxa" w:w="244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b/>
                <w:sz w:val="21"/>
              </w:rPr>
              <w:t>Settings</w:t>
            </w:r>
          </w:p>
          <w:p>
            <w:pPr>
              <w:spacing w:before="20"/>
            </w:pPr>
            <w:r>
              <w:rPr>
                <w:rFonts w:ascii="Consolas" w:hAnsi="Consolas"/>
                <w:color w:val="7C3AED"/>
                <w:sz w:val="17"/>
              </w:rPr>
              <w:t>/settings</w:t>
            </w:r>
          </w:p>
        </w:tc>
        <w:tc>
          <w:tcPr>
            <w:tcW w:type="dxa" w:w="6624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Borders>
              <w:bottom w:val="single" w:sz="4" w:color="E1D4F5"/>
            </w:tcBorders>
          </w:tcPr>
          <w:p>
            <w:r>
              <w:rPr>
                <w:color w:val="5B4F78"/>
                <w:sz w:val="19"/>
              </w:rPr>
              <w:t>Branches, departments, roles &amp; permissions, users, and system-wide settings.</w:t>
            </w:r>
          </w:p>
        </w:tc>
      </w:tr>
    </w:tbl>
    <w:p>
      <w:pPr>
        <w:spacing w:before="280"/>
      </w:pPr>
      <w:r>
        <w:rPr>
          <w:b/>
          <w:sz w:val="19"/>
        </w:rPr>
        <w:t xml:space="preserve">A note on access:  </w:t>
      </w:r>
      <w:r>
        <w:rPr>
          <w:color w:val="5B4F78"/>
          <w:sz w:val="19"/>
        </w:rPr>
        <w:t>what a signed-in user can see is controlled by their role and permissions, set under Settings → Roles. The admin login above is SuperAdmin and bypasses these checks entirely.</w:t>
      </w:r>
    </w:p>
    <w:p/>
    <w:p>
      <w:pPr>
        <w:spacing w:before="400"/>
        <w:pBdr>
          <w:top w:val="single" w:sz="4" w:color="E1D4F5" w:space="8"/>
        </w:pBdr>
      </w:pPr>
      <w:r>
        <w:rPr>
          <w:color w:val="5B4F78"/>
          <w:sz w:val="17"/>
        </w:rPr>
        <w:t>Revive · internal reference · last updated Aug 17,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41A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