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(AWS), python-eu-nonpersonal (Azure) en sdkperf-pii (STACKIT) alle drie bevestigd, elk uitsluitend op de eigen doelbroker</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landt uitsluitend op zijn eigen doelbroker.</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2026-09-28T12:32:26.453Z</dcterms:created>
  <dcterms:modified xsi:type="dcterms:W3CDTF">2026-09-28T12:32:26.464Z</dcterms:modified>
</cp:coreProperties>
</file>

<file path=docProps/custom.xml><?xml version="1.0" encoding="utf-8"?>
<Properties xmlns="http://schemas.openxmlformats.org/officeDocument/2006/custom-properties" xmlns:vt="http://schemas.openxmlformats.org/officeDocument/2006/docPropsVTypes"/>
</file>