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spacing w:after="140"/>
      </w:pPr>
      <w:r>
        <w:rPr>
          <w:b/>
          <w:bCs/>
          <w:i/>
          <w:iCs/>
          <w:sz w:val="20"/>
          <w:szCs w:val="20"/>
        </w:rPr>
        <w:t xml:space="preserve">Status (02/10/2026): de 3 cloud-broker-services hierboven zijn opnieuw aangemaakt -- nu als "Developer 100"-tier (niet-HA) verdeeld over twee Solace Cloud-organisaties (AWS+Azure in de ene, STACKIT in de andere), via een nieuwe Terraform-opzet (cloud-setup/terraform/, Solace's eigen beta-provider) i.p.v. de eerdere Enterprise-250-HA-klasse in één org. STACKIT bleek daarbij een eigen, echte dedicated datacenter te hebben -- de eerder voorziene GCP-interim-stand-in is niet nodig gebleken. De volledige keten (nieuwe services, local-broker/.env, bridge-users, lokale broker, RDP-export) is end-to-end herbevestigd: onderweg bleek configure-rdp-export.sh een echte bug te hebben (de RDP bleef op een rerun op de OUDE cloud-hosts/credentials staan, want nooit gepatcht) -- gevonden en gefixt. Daarna is de volledige testronde nogmaals stap voor stap herhaald en door Emil bevestigd: Broker Manager-check, alle 3 demo-apps elk uitsluitend op hun eigen doelbroker, en een reguliere containerrestart gevolgd door een foutloze, idempotente herconfiguratie (geen duplicaten, geen handmatige opschoning nodig). Enige bijzonderheid: de allereerste STACKIT-berichten deden er ruim een minuut over om aan te komen (terwijl de lokale queue leeg bleef) -- een eenmalige "cold start" van de REST-verbinding naar de zojuist aangemaakte service, geen configuratiefout. Zie PLAN.md sectie 13, punten 42-48 en TODO.md voor de volledige details.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Solace Cloud, Developer 100 (non-HA) -- opnieuw aangemaakt via Terraform, org 2; eigen, echte dedicated datacenter (GA)</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inmiddels bevestigd als eigen, echte dedicated datacenter in Solace Cloud (geen GCP-interim-stand-in meer nodig) -- zelfde topics en ACL's als AWS/Azure, alleen het fysieke eindpunt is STACKIT in plaats van een hyperscaler.</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tcMar>
              <w:top w:type="dxa" w:w="80"/>
              <w:left w:type="dxa" w:w="100"/>
              <w:bottom w:type="dxa" w:w="80"/>
              <w:right w:type="dxa" w:w="100"/>
            </w:tcMar>
          </w:tcPr>
          <w:p>
            <w:r>
              <w:rPr>
                <w:b w:val="false"/>
                <w:bCs w:val="false"/>
              </w:rPr>
              <w:t xml:space="preserve">1</w:t>
            </w:r>
          </w:p>
        </w:tc>
        <w:tc>
          <w:tcPr>
            <w:tcW w:type="dxa" w:w="2600"/>
            <w:tcMar>
              <w:top w:type="dxa" w:w="80"/>
              <w:left w:type="dxa" w:w="100"/>
              <w:bottom w:type="dxa" w:w="80"/>
              <w:right w:type="dxa" w:w="100"/>
            </w:tcMar>
          </w:tcPr>
          <w:p>
            <w:r>
              <w:rPr>
                <w:b w:val="false"/>
                <w:bCs w:val="false"/>
              </w:rPr>
              <w:t xml:space="preserve">STACKIT-beschikbaarheid</w:t>
            </w:r>
          </w:p>
        </w:tc>
        <w:tc>
          <w:tcPr>
            <w:tcW w:type="dxa" w:w="3400"/>
            <w:tcMar>
              <w:top w:type="dxa" w:w="80"/>
              <w:left w:type="dxa" w:w="100"/>
              <w:bottom w:type="dxa" w:w="80"/>
              <w:right w:type="dxa" w:w="100"/>
            </w:tcMar>
          </w:tcPr>
          <w:p>
            <w:r>
              <w:rPr>
                <w:b w:val="false"/>
                <w:bCs w:val="false"/>
              </w:rPr>
              <w:t xml:space="preserve">✅✅ STACKIT blijkt inmiddels een eigen, echte dedicated datacenter te hebben in Solace Cloud -- geen GCP-interim-stand-in meer nodig</w:t>
            </w:r>
          </w:p>
        </w:tc>
        <w:tc>
          <w:tcPr>
            <w:tcW w:type="dxa" w:w="2326"/>
            <w:tcMar>
              <w:top w:type="dxa" w:w="80"/>
              <w:left w:type="dxa" w:w="100"/>
              <w:bottom w:type="dxa" w:w="80"/>
              <w:right w:type="dxa" w:w="100"/>
            </w:tcMar>
          </w:tcPr>
          <w:p>
            <w:r>
              <w:rPr>
                <w:b w:val="false"/>
                <w:bCs w:val="false"/>
              </w:rPr>
              <w:t xml:space="preserve">GA bevestigd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 (2 org's, 2 tokens)</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Services opnieuw aangemaakt via Terraform (Developer 100-tier, 2 org's) -- zie cloud-setup/terraform/, PLAN.md sectie 13 punt 42</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Opnieuw volledig end-to-end bevestigd tegen de nieuwe services (02/10/2026) -- onderweg een echte bug gevonden en gefixt (RDP restConsumer bleef op oude cloud-hosts/credentials staan, zie PLAN.md sectie 13 punt 43)</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Alle 3 demo-apps herbevestigd tegen de nieuwe services via run-demo-loop.sh --once (02/10/2026) -- onderweg nog een bug gevonden en gefixt (macOS mktemp randomiseerde niet, zie PLAN.md sectie 13 punt 45). Daarna de volledige testronde nogmaals stap voor stap herhaald en bevestigd, inclusief idempotentie na een containerrestart (PLAN.md sectie 13 punt 48)</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~~Variatie uitbreiden (type/market voor publiek, postcodeArea/customerId voor eu-ops/eu-pii) en TODO.md/AGENTS.md/SKILLS.md toevoegen zodat de sessie gesloten en later hervat kan worden.~~ ✅ -- zie PLAN.md sectie 13, punten 36-39. TODO.md bevat nu de actuele, geprioriteerde actielijst (in plaats van deze paragraaf); AGENTS.md en SKILLS.md geven een AI-coding-agent of nieuwe bijdrager de architectuurconventies resp. herbruikbare recepten.</w:t>
      </w:r>
    </w:p>
    <w:p>
      <w:pPr>
        <w:pStyle w:val="ListParagraph"/>
        <w:numPr>
          <w:ilvl w:val="0"/>
          <w:numId w:val="2"/>
        </w:numPr>
        <w:spacing w:after="80"/>
      </w:pPr>
      <w:r>
        <w:t xml:space="preserve">~~De 3 cloud-broker-services opnieuw aanmaken via de nieuwe Terraform-opzet (cloud-setup/terraform/, Developer 100-tier, 2 org's) en local-broker/.env bijwerken.~~ ✅ -- alle 3 services Running (02/10/2026); STACKIT bleek een eigen, echte dedicated datacenter te hebben (geen GCP-interim nodig). local-broker/.env staat op de nieuwe hostnames/VPN-naam/SEMP-credentials (zie PLAN.md sectie 13, punt 42).</w:t>
      </w:r>
    </w:p>
    <w:p>
      <w:pPr>
        <w:pStyle w:val="ListParagraph"/>
        <w:numPr>
          <w:ilvl w:val="0"/>
          <w:numId w:val="2"/>
        </w:numPr>
        <w:spacing w:after="80"/>
      </w:pPr>
      <w:r>
        <w:t xml:space="preserve">~~configure-remote-bridge-users.sh, configure-local-broker.sh en configure-rdp-export.sh opnieuw draaien tegen de nieuwe services, dan publish-test.~~ ✅ -- onderweg een echte bug gevonden en gefixt: de RDP's restConsumer werd op een rerun nooit bijgewerkt en bleef op de oude cloud-hosts/credentials staan (PLAN.md sectie 13, punt 43). Na de fix: stm-public bevestigd op alle 3 cloud-brokers, elk op zijn eigen topic (punt 44).</w:t>
      </w:r>
    </w:p>
    <w:p>
      <w:pPr>
        <w:pStyle w:val="ListParagraph"/>
        <w:numPr>
          <w:ilvl w:val="0"/>
          <w:numId w:val="2"/>
        </w:numPr>
        <w:spacing w:after="80"/>
      </w:pPr>
      <w:r>
        <w:t xml:space="preserve">~~python-eu-nonpersonal en sdkperf-pii ook nog herbevestigen tegen de nieuwe services.~~ ✅ -- via run-demo-loop.sh --once draaien nu alle 3 demo-apps weer foutloos (onderweg een macOS-specifieke mktemp-bug gevonden en gefixt, PLAN.md sectie 13 punt 45-46).</w:t>
      </w:r>
    </w:p>
    <w:p>
      <w:pPr>
        <w:pStyle w:val="ListParagraph"/>
        <w:numPr>
          <w:ilvl w:val="0"/>
          <w:numId w:val="2"/>
        </w:numPr>
        <w:spacing w:after="80"/>
      </w:pPr>
      <w:r>
        <w:t xml:space="preserve">~~De volledige testronde (fase 5, sectie 12 punten 1-4 en 6) nogmaals stap voor stap herhalen, met bevestiging na elke stap.~~ ✅ -- Broker Manager-check, alle 3 demo-apps elk uitsluitend op hun eigen doelbroker, en een reguliere containerrestart gevolgd door een foutloze, idempotente herconfiguratie (zie PLAN.md sectie 13, punt 48). De negative-ACL-test (testplan-punt 5) en het meten van de koude-starttijd (testplan-punt 7) zijn op Emils expliciete verzoek naar "Kan na DADD" resp. van de lijst gehaald.</w:t>
      </w:r>
    </w:p>
    <w:p>
      <w:pPr>
        <w:pStyle w:val="ListParagraph"/>
        <w:numPr>
          <w:ilvl w:val="0"/>
          <w:numId w:val="2"/>
        </w:numPr>
        <w:spacing w:after="80"/>
      </w:pPr>
      <w:r>
        <w:t xml:space="preserve">Nu: een visueel aantrekkelijke presentatie in Solace-huisstijl die het hele proces van scratch tot draaiende omgeving beeldend beschrijft, met architectuurdiagrammen en workflow-voorbeelden.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2026-10-02T07:46:58.313Z</dcterms:created>
  <dcterms:modified xsi:type="dcterms:W3CDTF">2026-10-02T07:46:58.324Z</dcterms:modified>
</cp:coreProperties>
</file>

<file path=docProps/custom.xml><?xml version="1.0" encoding="utf-8"?>
<Properties xmlns="http://schemas.openxmlformats.org/officeDocument/2006/custom-properties" xmlns:vt="http://schemas.openxmlformats.org/officeDocument/2006/docPropsVTypes"/>
</file>