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spacing w:after="140"/>
      </w:pPr>
      <w:r>
        <w:rPr>
          <w:b/>
          <w:bCs/>
          <w:i/>
          <w:iCs/>
          <w:sz w:val="20"/>
          <w:szCs w:val="20"/>
        </w:rPr>
        <w:t xml:space="preserve">Status (02/10/2026): de 3 cloud-broker-services hierboven zijn opnieuw aangemaakt -- nu als "Developer 100"-tier (niet-HA) verdeeld over twee Solace Cloud-organisaties (AWS+Azure in de ene, STACKIT in de andere), via een nieuwe Terraform-opzet (cloud-setup/terraform/, Solace's eigen beta-provider) i.p.v. de eerdere Enterprise-250-HA-klasse in één org. STACKIT bleek daarbij een eigen, echte dedicated datacenter te hebben -- de eerder voorziene GCP-interim-stand-in is niet nodig gebleken. local-broker/.env is bijgewerkt met de nieuwe hostnames/VPN-naam/SEMP-credentials; de configuratiescripts (bridge-user, lokale broker, RDP-export) moeten nog opnieuw draaien vóór een hernieuwde end-to-end-bevestiging. Zie PLAN.md sectie 13, punt 42 en TODO.md voor de volledige details.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Solace Cloud, Developer 100 (non-HA) -- opnieuw aangemaakt via Terraform, org 2; eigen, echte dedicated datacenter (GA)</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inmiddels bevestigd als eigen, echte dedicated datacenter in Solace Cloud (geen GCP-interim-stand-in meer nodig) -- zelfde topics en ACL's als AWS/Azure, alleen het fysieke eindpunt is STACKIT in plaats van een hyperscaler.</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tcMar>
              <w:top w:type="dxa" w:w="80"/>
              <w:left w:type="dxa" w:w="100"/>
              <w:bottom w:type="dxa" w:w="80"/>
              <w:right w:type="dxa" w:w="100"/>
            </w:tcMar>
          </w:tcPr>
          <w:p>
            <w:r>
              <w:rPr>
                <w:b w:val="false"/>
                <w:bCs w:val="false"/>
              </w:rPr>
              <w:t xml:space="preserve">1</w:t>
            </w:r>
          </w:p>
        </w:tc>
        <w:tc>
          <w:tcPr>
            <w:tcW w:type="dxa" w:w="2600"/>
            <w:tcMar>
              <w:top w:type="dxa" w:w="80"/>
              <w:left w:type="dxa" w:w="100"/>
              <w:bottom w:type="dxa" w:w="80"/>
              <w:right w:type="dxa" w:w="100"/>
            </w:tcMar>
          </w:tcPr>
          <w:p>
            <w:r>
              <w:rPr>
                <w:b w:val="false"/>
                <w:bCs w:val="false"/>
              </w:rPr>
              <w:t xml:space="preserve">STACKIT-beschikbaarheid</w:t>
            </w:r>
          </w:p>
        </w:tc>
        <w:tc>
          <w:tcPr>
            <w:tcW w:type="dxa" w:w="3400"/>
            <w:tcMar>
              <w:top w:type="dxa" w:w="80"/>
              <w:left w:type="dxa" w:w="100"/>
              <w:bottom w:type="dxa" w:w="80"/>
              <w:right w:type="dxa" w:w="100"/>
            </w:tcMar>
          </w:tcPr>
          <w:p>
            <w:r>
              <w:rPr>
                <w:b w:val="false"/>
                <w:bCs w:val="false"/>
              </w:rPr>
              <w:t xml:space="preserve">✅✅ STACKIT blijkt inmiddels een eigen, echte dedicated datacenter te hebben in Solace Cloud -- geen GCP-interim-stand-in meer nodig</w:t>
            </w:r>
          </w:p>
        </w:tc>
        <w:tc>
          <w:tcPr>
            <w:tcW w:type="dxa" w:w="2326"/>
            <w:tcMar>
              <w:top w:type="dxa" w:w="80"/>
              <w:left w:type="dxa" w:w="100"/>
              <w:bottom w:type="dxa" w:w="80"/>
              <w:right w:type="dxa" w:w="100"/>
            </w:tcMar>
          </w:tcPr>
          <w:p>
            <w:r>
              <w:rPr>
                <w:b w:val="false"/>
                <w:bCs w:val="false"/>
              </w:rPr>
              <w:t xml:space="preserve">GA bevestigd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 (2 org's, 2 tokens)</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Services opnieuw aangemaakt via Terraform (Developer 100-tier, 2 org's) -- zie cloud-setup/terraform/, PLAN.md sectie 13 punt 42</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Eerder volledig end-to-end bevestigd, maar tegen de inmiddels verwijderde cloud-services -- local-broker/.env staat al op de nieuwe services; configure-remote-bridge-users.sh/configure-local-broker.sh/configure-rdp-export.sh moeten opnieuw draaien vóór hernieuwde bevestiging</w:t>
            </w:r>
          </w:p>
        </w:tc>
        <w:tc>
          <w:tcPr>
            <w:tcW w:type="dxa" w:w="2326"/>
            <w:tcMar>
              <w:top w:type="dxa" w:w="80"/>
              <w:left w:type="dxa" w:w="100"/>
              <w:bottom w:type="dxa" w:w="80"/>
              <w:right w:type="dxa" w:w="100"/>
            </w:tcMar>
          </w:tcPr>
          <w:p>
            <w:r>
              <w:rPr>
                <w:b w:val="false"/>
                <w:bCs w:val="false"/>
              </w:rPr>
              <w:t xml:space="preserve">Opnieuw te bevestigen tegen nieuwe services</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Eerder 3/3 bevestigd (stm-public, python-eu-nonpersonal, sdkperf-pii, elk alle 3 dataklassen per run) -- zelfde kanttekening als fase 4, herhalen tegen de nieuwe services</w:t>
            </w:r>
          </w:p>
        </w:tc>
        <w:tc>
          <w:tcPr>
            <w:tcW w:type="dxa" w:w="2326"/>
            <w:tcMar>
              <w:top w:type="dxa" w:w="80"/>
              <w:left w:type="dxa" w:w="100"/>
              <w:bottom w:type="dxa" w:w="80"/>
              <w:right w:type="dxa" w:w="100"/>
            </w:tcMar>
          </w:tcPr>
          <w:p>
            <w:r>
              <w:rPr>
                <w:b w:val="false"/>
                <w:bCs w:val="false"/>
              </w:rPr>
              <w:t xml:space="preserve">Herhalen na fase 4, en nogmaals vóór DADD zelf</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~~Variatie uitbreiden (type/market voor publiek, postcodeArea/customerId voor eu-ops/eu-pii) en TODO.md/AGENTS.md/SKILLS.md toevoegen zodat de sessie gesloten en later hervat kan worden.~~ ✅ -- zie PLAN.md sectie 13, punten 36-39. TODO.md bevat nu de actuele, geprioriteerde actielijst (in plaats van deze paragraaf); AGENTS.md en SKILLS.md geven een AI-coding-agent of nieuwe bijdrager de architectuurconventies resp. herbruikbare recepten.</w:t>
      </w:r>
    </w:p>
    <w:p>
      <w:pPr>
        <w:pStyle w:val="ListParagraph"/>
        <w:numPr>
          <w:ilvl w:val="0"/>
          <w:numId w:val="2"/>
        </w:numPr>
        <w:spacing w:after="80"/>
      </w:pPr>
      <w:r>
        <w:t xml:space="preserve">~~De 3 cloud-broker-services opnieuw aanmaken via de nieuwe Terraform-opzet (cloud-setup/terraform/, Developer 100-tier, 2 org's) en local-broker/.env bijwerken.~~ ✅ -- alle 3 services Running (02/10/2026); STACKIT bleek een eigen, echte dedicated datacenter te hebben (geen GCP-interim nodig). local-broker/.env staat op de nieuwe hostnames/VPN-naam/SEMP-credentials (zie PLAN.md sectie 13, punt 42).</w:t>
      </w:r>
    </w:p>
    <w:p>
      <w:pPr>
        <w:pStyle w:val="ListParagraph"/>
        <w:numPr>
          <w:ilvl w:val="0"/>
          <w:numId w:val="2"/>
        </w:numPr>
        <w:spacing w:after="80"/>
      </w:pPr>
      <w:r>
        <w:t xml:space="preserve">Nu: configure-remote-bridge-users.sh, configure-local-broker.sh en configure-rdp-export.sh opnieuw draaien tegen de nieuwe services (de oude bridge-user/ACL's bestonden alleen op de verwijderde services), daarna testplan (sectie 12) herhalen, en pas dan draaiboek + fallback-opname voorbereiden (zie TODO.md).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2026-10-01T23:33:37.585Z</dcterms:created>
  <dcterms:modified xsi:type="dcterms:W3CDTF">2026-10-01T23:33:37.592Z</dcterms:modified>
</cp:coreProperties>
</file>

<file path=docProps/custom.xml><?xml version="1.0" encoding="utf-8"?>
<Properties xmlns="http://schemas.openxmlformats.org/officeDocument/2006/custom-properties" xmlns:vt="http://schemas.openxmlformats.org/officeDocument/2006/docPropsVTypes"/>
</file>