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root cause voor de Down-bridges gevonden via het nieuwe diagnosescript diagnose-bridges.sh. De verbinding zelf (TLS + auth) was al gezond; de bug was een richtingsfout -- remoteSubscriptions (import vanaf remote) was geconfigureerd in plaats van localSubscriptions (export naar remote). Gefixt in configure-local-broker.sh; Emil draait het script opnieuw en verifieert dat alle 3 bridges Up tonen mét actieve message flow.</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Root cause gevonden: script gebruikte remoteSubscriptions (import) i.p.v. localSubscriptions (export) -- bridge-verbinding zelf was al gezond. Gefixt; 🔄 opnieuw draaien en verifiëren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2026-09-28T01:58:27.716Z</dcterms:created>
  <dcterms:modified xsi:type="dcterms:W3CDTF">2026-09-28T01:58:27.737Z</dcterms:modified>
</cp:coreProperties>
</file>

<file path=docProps/custom.xml><?xml version="1.0" encoding="utf-8"?>
<Properties xmlns="http://schemas.openxmlformats.org/officeDocument/2006/custom-properties" xmlns:vt="http://schemas.openxmlformats.org/officeDocument/2006/docPropsVTypes"/>
</file>