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Plan van aanpak</w:t>
      </w:r>
    </w:p>
    <w:p>
      <w:pPr>
        <w:spacing w:after="200"/>
      </w:pPr>
      <w:r>
        <w:rPr>
          <w:b/>
          <w:bCs/>
          <w:sz w:val="28"/>
          <w:szCs w:val="28"/>
        </w:rPr>
        <w:t xml:space="preserve">DADD 2026 demo: soevereine, event-driven infrastructuur (Enewable)</w:t>
      </w:r>
    </w:p>
    <w:p>
      <w:pPr>
        <w:spacing w:after="140"/>
      </w:pPr>
      <w:r>
        <w:rPr>
          <w:i/>
          <w:iCs/>
        </w:rPr>
        <w:t xml:space="preserve">Bij de presentatie “Ontwerpen voor soevereiniteit: de verborgen kosten van het verlaten van de hyperscalers” van Emil Zegers, DADD 2026.</w:t>
      </w:r>
    </w:p>
    <w:p>
      <w:pPr>
        <w:spacing w:after="140"/>
      </w:pPr>
      <w:r>
        <w:rPr>
          <w:sz w:val="20"/>
          <w:szCs w:val="20"/>
        </w:rPr>
        <w:t xml:space="preserve">Dit is een samenvatting. Het volledige, meest actuele plan (met alle configuratiedetails, scripts en het complete testplan) staat in PLAN.md in de projectrepo: github.com/taatuut/dadd-2026-solace-stackit-soevereine-cloud.</w:t>
      </w:r>
    </w:p>
    <w:p>
      <w:pPr>
        <w:spacing w:after="140"/>
      </w:pPr>
      <w:r>
        <w:rPr>
          <w:i/>
          <w:iCs/>
          <w:sz w:val="20"/>
          <w:szCs w:val="20"/>
        </w:rPr>
        <w:t xml:space="preserve">Voortgang: bridge-export via remoteSubscription bleek alleen te kunnen importeren, niet exporteren, zonder een wederkerige bridge + publiek bereikbare lokale broker (een poging om dat laatste te vermijden via Solace's virtual-router-name-mechanisme is getest op AWS en bleek negatief). Emil koos daarop een derde, betere optie: de demo-apps blijven ongewijzigd DIRECT publiceren; 3 lokale queues vangen die berichten automatisch op (Solace's "message promotion", geen appwijziging nodig) en 3 REST Delivery Points sturen elke queue native door naar de bijbehorende cloud-broker, op dezelfde topic. Geïmplementeerd; testrun en validatie door Emil zijn de volgende stap.</w:t>
      </w:r>
    </w:p>
    <w:p>
      <w:pPr>
        <w:pStyle w:val="Heading1"/>
        <w:spacing w:after="140" w:before="280"/>
      </w:pPr>
      <w:r>
        <w:t xml:space="preserve">1. Context en doelstelling</w:t>
      </w:r>
    </w:p>
    <w:p>
      <w:pPr>
        <w:spacing w:after="140"/>
      </w:pPr>
      <w:r>
        <w:t xml:space="preserve">De presentatie betoogt dat soevereiniteit niet primair een opslagvraagstuk is (“waar staat de data”) maar een bewegingsvraagstuk (“wat kost het om data te verplaatsen, en onder welke voorwaarden mag dat”). Egress bij hyperscalers is 5-10x duurder dan bij Europese aanbieders; event-driven architectuur (alleen deltas versturen, geclassificeerd en gefilterd vóór ze een grens oversteken) draait die rekensom om -- geschat 80-95% minder cross-boundary verkeer.</w:t>
      </w:r>
    </w:p>
    <w:p>
      <w:pPr>
        <w:spacing w:after="140"/>
      </w:pPr>
      <w:r>
        <w:t xml:space="preserve">Deze demo maakt dat verhaal letterlijk zichtbaar: vier Solace-brokers waarin data, puur op basis van zijn classificatie, automatisch en gegarandeerd naar de juiste (en alleen de juiste) bestemming stroomt, op te zetten binnen enkele minuten voor een podium-demo.</w:t>
      </w:r>
    </w:p>
    <w:p>
      <w:pPr>
        <w:pStyle w:val="Heading1"/>
        <w:spacing w:after="140" w:before="280"/>
      </w:pPr>
      <w:r>
        <w:t xml:space="preserve">2. Scenario: Enewable</w:t>
      </w:r>
    </w:p>
    <w:p>
      <w:pPr>
        <w:spacing w:after="140"/>
      </w:pPr>
      <w:r>
        <w:t xml:space="preserve">Enewable is een fictieve, nieuwe Nederlandse energieleverancier met drie dataklassen, oplopend in gevoeligheid: publieke marktdata, niet-persoonlijke geaggregeerde operationele data, en gevoelige klant-PII. Alle voorbeelddata in de demo is gesynthetiseerd.</w:t>
      </w:r>
    </w:p>
    <w:p>
      <w:pPr>
        <w:pStyle w:val="Heading1"/>
        <w:spacing w:after="140" w:before="280"/>
      </w:pPr>
      <w:r>
        <w:t xml:space="preserve">3. Topologie</w:t>
      </w:r>
    </w:p>
    <w:p>
      <w:pPr>
        <w:spacing w:after="20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667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426"/>
      </w:tblGrid>
      <w:tr>
        <w:trPr>
          <w:tblHeader/>
        </w:trPr>
        <w:tc>
          <w:tcPr>
            <w:tcW w:type="dxa" w:w="1800"/>
            <w:shd w:fill="D9D9D9" w:val="clear"/>
            <w:tcMar>
              <w:top w:type="dxa" w:w="80"/>
              <w:left w:type="dxa" w:w="100"/>
              <w:bottom w:type="dxa" w:w="80"/>
              <w:right w:type="dxa" w:w="100"/>
            </w:tcMar>
          </w:tcPr>
          <w:p>
            <w:r>
              <w:rPr>
                <w:b/>
                <w:bCs/>
              </w:rPr>
              <w:t xml:space="preserve">Broker</w:t>
            </w:r>
          </w:p>
        </w:tc>
        <w:tc>
          <w:tcPr>
            <w:tcW w:type="dxa" w:w="2600"/>
            <w:shd w:fill="D9D9D9" w:val="clear"/>
            <w:tcMar>
              <w:top w:type="dxa" w:w="80"/>
              <w:left w:type="dxa" w:w="100"/>
              <w:bottom w:type="dxa" w:w="80"/>
              <w:right w:type="dxa" w:w="100"/>
            </w:tcMar>
          </w:tcPr>
          <w:p>
            <w:r>
              <w:rPr>
                <w:b/>
                <w:bCs/>
              </w:rPr>
              <w:t xml:space="preserve">Type</w:t>
            </w:r>
          </w:p>
        </w:tc>
        <w:tc>
          <w:tcPr>
            <w:tcW w:type="dxa" w:w="2200"/>
            <w:shd w:fill="D9D9D9" w:val="clear"/>
            <w:tcMar>
              <w:top w:type="dxa" w:w="80"/>
              <w:left w:type="dxa" w:w="100"/>
              <w:bottom w:type="dxa" w:w="80"/>
              <w:right w:type="dxa" w:w="100"/>
            </w:tcMar>
          </w:tcPr>
          <w:p>
            <w:r>
              <w:rPr>
                <w:b/>
                <w:bCs/>
              </w:rPr>
              <w:t xml:space="preserve">Locatie</w:t>
            </w:r>
          </w:p>
        </w:tc>
        <w:tc>
          <w:tcPr>
            <w:tcW w:type="dxa" w:w="2426"/>
            <w:shd w:fill="D9D9D9" w:val="clear"/>
            <w:tcMar>
              <w:top w:type="dxa" w:w="80"/>
              <w:left w:type="dxa" w:w="100"/>
              <w:bottom w:type="dxa" w:w="80"/>
              <w:right w:type="dxa" w:w="100"/>
            </w:tcMar>
          </w:tcPr>
          <w:p>
            <w:r>
              <w:rPr>
                <w:b/>
                <w:bCs/>
              </w:rPr>
              <w:t xml:space="preserve">Rol</w:t>
            </w:r>
          </w:p>
        </w:tc>
      </w:tr>
      <w:tr>
        <w:tc>
          <w:tcPr>
            <w:tcW w:type="dxa" w:w="1800"/>
            <w:tcMar>
              <w:top w:type="dxa" w:w="80"/>
              <w:left w:type="dxa" w:w="100"/>
              <w:bottom w:type="dxa" w:w="80"/>
              <w:right w:type="dxa" w:w="100"/>
            </w:tcMar>
          </w:tcPr>
          <w:p>
            <w:r>
              <w:rPr>
                <w:b w:val="false"/>
                <w:bCs w:val="false"/>
              </w:rPr>
              <w:t xml:space="preserve">Lokaal</w:t>
            </w:r>
          </w:p>
        </w:tc>
        <w:tc>
          <w:tcPr>
            <w:tcW w:type="dxa" w:w="2600"/>
            <w:tcMar>
              <w:top w:type="dxa" w:w="80"/>
              <w:left w:type="dxa" w:w="100"/>
              <w:bottom w:type="dxa" w:w="80"/>
              <w:right w:type="dxa" w:w="100"/>
            </w:tcMar>
          </w:tcPr>
          <w:p>
            <w:r>
              <w:rPr>
                <w:b w:val="false"/>
                <w:bCs w:val="false"/>
              </w:rPr>
              <w:t xml:space="preserve">Self-managed software, single-AZ, Docker (draait: enewable-local-broker)</w:t>
            </w:r>
          </w:p>
        </w:tc>
        <w:tc>
          <w:tcPr>
            <w:tcW w:type="dxa" w:w="2200"/>
            <w:tcMar>
              <w:top w:type="dxa" w:w="80"/>
              <w:left w:type="dxa" w:w="100"/>
              <w:bottom w:type="dxa" w:w="80"/>
              <w:right w:type="dxa" w:w="100"/>
            </w:tcMar>
          </w:tcPr>
          <w:p>
            <w:r>
              <w:rPr>
                <w:b w:val="false"/>
                <w:bCs w:val="false"/>
              </w:rPr>
              <w:t xml:space="preserve">Laptop (macOS)</w:t>
            </w:r>
          </w:p>
        </w:tc>
        <w:tc>
          <w:tcPr>
            <w:tcW w:type="dxa" w:w="2426"/>
            <w:tcMar>
              <w:top w:type="dxa" w:w="80"/>
              <w:left w:type="dxa" w:w="100"/>
              <w:bottom w:type="dxa" w:w="80"/>
              <w:right w:type="dxa" w:w="100"/>
            </w:tcMar>
          </w:tcPr>
          <w:p>
            <w:r>
              <w:rPr>
                <w:b w:val="false"/>
                <w:bCs w:val="false"/>
              </w:rPr>
              <w:t xml:space="preserve">Bron van alle demo-data, exporteert via 3 REST Delivery Points</w:t>
            </w:r>
          </w:p>
        </w:tc>
      </w:tr>
      <w:tr>
        <w:tc>
          <w:tcPr>
            <w:tcW w:type="dxa" w:w="1800"/>
            <w:shd w:fill="E8F5E9" w:val="clear"/>
            <w:tcMar>
              <w:top w:type="dxa" w:w="80"/>
              <w:left w:type="dxa" w:w="100"/>
              <w:bottom w:type="dxa" w:w="80"/>
              <w:right w:type="dxa" w:w="100"/>
            </w:tcMar>
          </w:tcPr>
          <w:p>
            <w:r>
              <w:rPr>
                <w:b w:val="false"/>
                <w:bCs w:val="false"/>
              </w:rPr>
              <w:t xml:space="preserve">AWS US East</w:t>
            </w:r>
          </w:p>
        </w:tc>
        <w:tc>
          <w:tcPr>
            <w:tcW w:type="dxa" w:w="2600"/>
            <w:shd w:fill="E8F5E9" w:val="clear"/>
            <w:tcMar>
              <w:top w:type="dxa" w:w="80"/>
              <w:left w:type="dxa" w:w="100"/>
              <w:bottom w:type="dxa" w:w="80"/>
              <w:right w:type="dxa" w:w="100"/>
            </w:tcMar>
          </w:tcPr>
          <w:p>
            <w:r>
              <w:rPr>
                <w:b w:val="false"/>
                <w:bCs w:val="false"/>
              </w:rPr>
              <w:t xml:space="preserve">Solace Cloud, HA</w:t>
            </w:r>
          </w:p>
        </w:tc>
        <w:tc>
          <w:tcPr>
            <w:tcW w:type="dxa" w:w="2200"/>
            <w:shd w:fill="E8F5E9" w:val="clear"/>
            <w:tcMar>
              <w:top w:type="dxa" w:w="80"/>
              <w:left w:type="dxa" w:w="100"/>
              <w:bottom w:type="dxa" w:w="80"/>
              <w:right w:type="dxa" w:w="100"/>
            </w:tcMar>
          </w:tcPr>
          <w:p>
            <w:r>
              <w:rPr>
                <w:b w:val="false"/>
                <w:bCs w:val="false"/>
              </w:rPr>
              <w:t xml:space="preserve">AWS, US East</w:t>
            </w:r>
          </w:p>
        </w:tc>
        <w:tc>
          <w:tcPr>
            <w:tcW w:type="dxa" w:w="2426"/>
            <w:shd w:fill="E8F5E9" w:val="clear"/>
            <w:tcMar>
              <w:top w:type="dxa" w:w="80"/>
              <w:left w:type="dxa" w:w="100"/>
              <w:bottom w:type="dxa" w:w="80"/>
              <w:right w:type="dxa" w:w="100"/>
            </w:tcMar>
          </w:tcPr>
          <w:p>
            <w:r>
              <w:rPr>
                <w:b w:val="false"/>
                <w:bCs w:val="false"/>
              </w:rPr>
              <w:t xml:space="preserve">Ontvangt publieke data</w:t>
            </w:r>
          </w:p>
        </w:tc>
      </w:tr>
      <w:tr>
        <w:tc>
          <w:tcPr>
            <w:tcW w:type="dxa" w:w="1800"/>
            <w:shd w:fill="E3F2FD" w:val="clear"/>
            <w:tcMar>
              <w:top w:type="dxa" w:w="80"/>
              <w:left w:type="dxa" w:w="100"/>
              <w:bottom w:type="dxa" w:w="80"/>
              <w:right w:type="dxa" w:w="100"/>
            </w:tcMar>
          </w:tcPr>
          <w:p>
            <w:r>
              <w:rPr>
                <w:b w:val="false"/>
                <w:bCs w:val="false"/>
              </w:rPr>
              <w:t xml:space="preserve">Azure West Europe</w:t>
            </w:r>
          </w:p>
        </w:tc>
        <w:tc>
          <w:tcPr>
            <w:tcW w:type="dxa" w:w="2600"/>
            <w:shd w:fill="E3F2FD" w:val="clear"/>
            <w:tcMar>
              <w:top w:type="dxa" w:w="80"/>
              <w:left w:type="dxa" w:w="100"/>
              <w:bottom w:type="dxa" w:w="80"/>
              <w:right w:type="dxa" w:w="100"/>
            </w:tcMar>
          </w:tcPr>
          <w:p>
            <w:r>
              <w:rPr>
                <w:b w:val="false"/>
                <w:bCs w:val="false"/>
              </w:rPr>
              <w:t xml:space="preserve">Solace Cloud, HA</w:t>
            </w:r>
          </w:p>
        </w:tc>
        <w:tc>
          <w:tcPr>
            <w:tcW w:type="dxa" w:w="2200"/>
            <w:shd w:fill="E3F2FD" w:val="clear"/>
            <w:tcMar>
              <w:top w:type="dxa" w:w="80"/>
              <w:left w:type="dxa" w:w="100"/>
              <w:bottom w:type="dxa" w:w="80"/>
              <w:right w:type="dxa" w:w="100"/>
            </w:tcMar>
          </w:tcPr>
          <w:p>
            <w:r>
              <w:rPr>
                <w:b w:val="false"/>
                <w:bCs w:val="false"/>
              </w:rPr>
              <w:t xml:space="preserve">Azure, West Europe (NL)</w:t>
            </w:r>
          </w:p>
        </w:tc>
        <w:tc>
          <w:tcPr>
            <w:tcW w:type="dxa" w:w="2426"/>
            <w:shd w:fill="E3F2FD" w:val="clear"/>
            <w:tcMar>
              <w:top w:type="dxa" w:w="80"/>
              <w:left w:type="dxa" w:w="100"/>
              <w:bottom w:type="dxa" w:w="80"/>
              <w:right w:type="dxa" w:w="100"/>
            </w:tcMar>
          </w:tcPr>
          <w:p>
            <w:r>
              <w:rPr>
                <w:b w:val="false"/>
                <w:bCs w:val="false"/>
              </w:rPr>
              <w:t xml:space="preserve">Ontvangt niet-persoonlijke EU-data</w:t>
            </w:r>
          </w:p>
        </w:tc>
      </w:tr>
      <w:tr>
        <w:tc>
          <w:tcPr>
            <w:tcW w:type="dxa" w:w="1800"/>
            <w:shd w:fill="FFEBEE" w:val="clear"/>
            <w:tcMar>
              <w:top w:type="dxa" w:w="80"/>
              <w:left w:type="dxa" w:w="100"/>
              <w:bottom w:type="dxa" w:w="80"/>
              <w:right w:type="dxa" w:w="100"/>
            </w:tcMar>
          </w:tcPr>
          <w:p>
            <w:r>
              <w:rPr>
                <w:b w:val="false"/>
                <w:bCs w:val="false"/>
              </w:rPr>
              <w:t xml:space="preserve">STACKIT eu01</w:t>
            </w:r>
          </w:p>
        </w:tc>
        <w:tc>
          <w:tcPr>
            <w:tcW w:type="dxa" w:w="2600"/>
            <w:shd w:fill="FFEBEE" w:val="clear"/>
            <w:tcMar>
              <w:top w:type="dxa" w:w="80"/>
              <w:left w:type="dxa" w:w="100"/>
              <w:bottom w:type="dxa" w:w="80"/>
              <w:right w:type="dxa" w:w="100"/>
            </w:tcMar>
          </w:tcPr>
          <w:p>
            <w:r>
              <w:rPr>
                <w:b w:val="false"/>
                <w:bCs w:val="false"/>
              </w:rPr>
              <w:t xml:space="preserve">Sovereign HA (GA verwacht; interim gereed: GCP europe-west1)</w:t>
            </w:r>
          </w:p>
        </w:tc>
        <w:tc>
          <w:tcPr>
            <w:tcW w:type="dxa" w:w="2200"/>
            <w:shd w:fill="FFEBEE" w:val="clear"/>
            <w:tcMar>
              <w:top w:type="dxa" w:w="80"/>
              <w:left w:type="dxa" w:w="100"/>
              <w:bottom w:type="dxa" w:w="80"/>
              <w:right w:type="dxa" w:w="100"/>
            </w:tcMar>
          </w:tcPr>
          <w:p>
            <w:r>
              <w:rPr>
                <w:b w:val="false"/>
                <w:bCs w:val="false"/>
              </w:rPr>
              <w:t xml:space="preserve">STACKIT, Duitsland</w:t>
            </w:r>
          </w:p>
        </w:tc>
        <w:tc>
          <w:tcPr>
            <w:tcW w:type="dxa" w:w="2426"/>
            <w:shd w:fill="FFEBEE" w:val="clear"/>
            <w:tcMar>
              <w:top w:type="dxa" w:w="80"/>
              <w:left w:type="dxa" w:w="100"/>
              <w:bottom w:type="dxa" w:w="80"/>
              <w:right w:type="dxa" w:w="100"/>
            </w:tcMar>
          </w:tcPr>
          <w:p>
            <w:r>
              <w:rPr>
                <w:b w:val="false"/>
                <w:bCs w:val="false"/>
              </w:rPr>
              <w:t xml:space="preserve">Ontvangt gevoelige PII</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500"/>
        <w:gridCol w:w="1526"/>
      </w:tblGrid>
      <w:tr>
        <w:trPr>
          <w:tblHeader/>
        </w:trPr>
        <w:tc>
          <w:tcPr>
            <w:tcW w:type="dxa" w:w="2800"/>
            <w:shd w:fill="D9D9D9" w:val="clear"/>
            <w:tcMar>
              <w:top w:type="dxa" w:w="80"/>
              <w:left w:type="dxa" w:w="100"/>
              <w:bottom w:type="dxa" w:w="80"/>
              <w:right w:type="dxa" w:w="100"/>
            </w:tcMar>
          </w:tcPr>
          <w:p>
            <w:r>
              <w:rPr>
                <w:b/>
                <w:bCs/>
              </w:rPr>
              <w:t xml:space="preserve">Topic-subtree</w:t>
            </w:r>
          </w:p>
        </w:tc>
        <w:tc>
          <w:tcPr>
            <w:tcW w:type="dxa" w:w="2200"/>
            <w:shd w:fill="D9D9D9" w:val="clear"/>
            <w:tcMar>
              <w:top w:type="dxa" w:w="80"/>
              <w:left w:type="dxa" w:w="100"/>
              <w:bottom w:type="dxa" w:w="80"/>
              <w:right w:type="dxa" w:w="100"/>
            </w:tcMar>
          </w:tcPr>
          <w:p>
            <w:r>
              <w:rPr>
                <w:b/>
                <w:bCs/>
              </w:rPr>
              <w:t xml:space="preserve">Dataklasse</w:t>
            </w:r>
          </w:p>
        </w:tc>
        <w:tc>
          <w:tcPr>
            <w:tcW w:type="dxa" w:w="2500"/>
            <w:shd w:fill="D9D9D9" w:val="clear"/>
            <w:tcMar>
              <w:top w:type="dxa" w:w="80"/>
              <w:left w:type="dxa" w:w="100"/>
              <w:bottom w:type="dxa" w:w="80"/>
              <w:right w:type="dxa" w:w="100"/>
            </w:tcMar>
          </w:tcPr>
          <w:p>
            <w:r>
              <w:rPr>
                <w:b/>
                <w:bCs/>
              </w:rPr>
              <w:t xml:space="preserve">Voorbeeld</w:t>
            </w:r>
          </w:p>
        </w:tc>
        <w:tc>
          <w:tcPr>
            <w:tcW w:type="dxa" w:w="1526"/>
            <w:shd w:fill="D9D9D9" w:val="clear"/>
            <w:tcMar>
              <w:top w:type="dxa" w:w="80"/>
              <w:left w:type="dxa" w:w="100"/>
              <w:bottom w:type="dxa" w:w="80"/>
              <w:right w:type="dxa" w:w="100"/>
            </w:tcMar>
          </w:tcPr>
          <w:p>
            <w:r>
              <w:rPr>
                <w:b/>
                <w:bCs/>
              </w:rPr>
              <w:t xml:space="preserve">RDP naar</w:t>
            </w:r>
          </w:p>
        </w:tc>
      </w:tr>
      <w:tr>
        <w:tc>
          <w:tcPr>
            <w:tcW w:type="dxa" w:w="2800"/>
            <w:shd w:fill="E8F5E9" w:val="clear"/>
            <w:tcMar>
              <w:top w:type="dxa" w:w="80"/>
              <w:left w:type="dxa" w:w="100"/>
              <w:bottom w:type="dxa" w:w="80"/>
              <w:right w:type="dxa" w:w="100"/>
            </w:tcMar>
          </w:tcPr>
          <w:p>
            <w:r>
              <w:rPr>
                <w:b w:val="false"/>
                <w:bCs w:val="false"/>
              </w:rPr>
              <w:t xml:space="preserve">enewable/public/&gt;</w:t>
            </w:r>
          </w:p>
        </w:tc>
        <w:tc>
          <w:tcPr>
            <w:tcW w:type="dxa" w:w="2200"/>
            <w:shd w:fill="E8F5E9" w:val="clear"/>
            <w:tcMar>
              <w:top w:type="dxa" w:w="80"/>
              <w:left w:type="dxa" w:w="100"/>
              <w:bottom w:type="dxa" w:w="80"/>
              <w:right w:type="dxa" w:w="100"/>
            </w:tcMar>
          </w:tcPr>
          <w:p>
            <w:r>
              <w:rPr>
                <w:b w:val="false"/>
                <w:bCs w:val="false"/>
              </w:rPr>
              <w:t xml:space="preserve">Publiek</w:t>
            </w:r>
          </w:p>
        </w:tc>
        <w:tc>
          <w:tcPr>
            <w:tcW w:type="dxa" w:w="2500"/>
            <w:shd w:fill="E8F5E9" w:val="clear"/>
            <w:tcMar>
              <w:top w:type="dxa" w:w="80"/>
              <w:left w:type="dxa" w:w="100"/>
              <w:bottom w:type="dxa" w:w="80"/>
              <w:right w:type="dxa" w:w="100"/>
            </w:tcMar>
          </w:tcPr>
          <w:p>
            <w:r>
              <w:rPr>
                <w:b w:val="false"/>
                <w:bCs w:val="false"/>
              </w:rPr>
              <w:t xml:space="preserve">Day-ahead energieprijs, weerdata</w:t>
            </w:r>
          </w:p>
        </w:tc>
        <w:tc>
          <w:tcPr>
            <w:tcW w:type="dxa" w:w="1526"/>
            <w:shd w:fill="E8F5E9" w:val="clear"/>
            <w:tcMar>
              <w:top w:type="dxa" w:w="80"/>
              <w:left w:type="dxa" w:w="100"/>
              <w:bottom w:type="dxa" w:w="80"/>
              <w:right w:type="dxa" w:w="100"/>
            </w:tcMar>
          </w:tcPr>
          <w:p>
            <w:r>
              <w:rPr>
                <w:b w:val="false"/>
                <w:bCs w:val="false"/>
              </w:rPr>
              <w:t xml:space="preserve">AWS</w:t>
            </w:r>
          </w:p>
        </w:tc>
      </w:tr>
      <w:tr>
        <w:tc>
          <w:tcPr>
            <w:tcW w:type="dxa" w:w="2800"/>
            <w:shd w:fill="E3F2FD" w:val="clear"/>
            <w:tcMar>
              <w:top w:type="dxa" w:w="80"/>
              <w:left w:type="dxa" w:w="100"/>
              <w:bottom w:type="dxa" w:w="80"/>
              <w:right w:type="dxa" w:w="100"/>
            </w:tcMar>
          </w:tcPr>
          <w:p>
            <w:r>
              <w:rPr>
                <w:b w:val="false"/>
                <w:bCs w:val="false"/>
              </w:rPr>
              <w:t xml:space="preserve">enewable/eu/ops/&gt;</w:t>
            </w:r>
          </w:p>
        </w:tc>
        <w:tc>
          <w:tcPr>
            <w:tcW w:type="dxa" w:w="2200"/>
            <w:shd w:fill="E3F2FD" w:val="clear"/>
            <w:tcMar>
              <w:top w:type="dxa" w:w="80"/>
              <w:left w:type="dxa" w:w="100"/>
              <w:bottom w:type="dxa" w:w="80"/>
              <w:right w:type="dxa" w:w="100"/>
            </w:tcMar>
          </w:tcPr>
          <w:p>
            <w:r>
              <w:rPr>
                <w:b w:val="false"/>
                <w:bCs w:val="false"/>
              </w:rPr>
              <w:t xml:space="preserve">Niet-persoonlijk, EU</w:t>
            </w:r>
          </w:p>
        </w:tc>
        <w:tc>
          <w:tcPr>
            <w:tcW w:type="dxa" w:w="2500"/>
            <w:shd w:fill="E3F2FD" w:val="clear"/>
            <w:tcMar>
              <w:top w:type="dxa" w:w="80"/>
              <w:left w:type="dxa" w:w="100"/>
              <w:bottom w:type="dxa" w:w="80"/>
              <w:right w:type="dxa" w:w="100"/>
            </w:tcMar>
          </w:tcPr>
          <w:p>
            <w:r>
              <w:rPr>
                <w:b w:val="false"/>
                <w:bCs w:val="false"/>
              </w:rPr>
              <w:t xml:space="preserve">Geaggregeerde netbelasting</w:t>
            </w:r>
          </w:p>
        </w:tc>
        <w:tc>
          <w:tcPr>
            <w:tcW w:type="dxa" w:w="1526"/>
            <w:shd w:fill="E3F2FD" w:val="clear"/>
            <w:tcMar>
              <w:top w:type="dxa" w:w="80"/>
              <w:left w:type="dxa" w:w="100"/>
              <w:bottom w:type="dxa" w:w="80"/>
              <w:right w:type="dxa" w:w="100"/>
            </w:tcMar>
          </w:tcPr>
          <w:p>
            <w:r>
              <w:rPr>
                <w:b w:val="false"/>
                <w:bCs w:val="false"/>
              </w:rPr>
              <w:t xml:space="preserve">Azure</w:t>
            </w:r>
          </w:p>
        </w:tc>
      </w:tr>
      <w:tr>
        <w:tc>
          <w:tcPr>
            <w:tcW w:type="dxa" w:w="2800"/>
            <w:shd w:fill="FFEBEE" w:val="clear"/>
            <w:tcMar>
              <w:top w:type="dxa" w:w="80"/>
              <w:left w:type="dxa" w:w="100"/>
              <w:bottom w:type="dxa" w:w="80"/>
              <w:right w:type="dxa" w:w="100"/>
            </w:tcMar>
          </w:tcPr>
          <w:p>
            <w:r>
              <w:rPr>
                <w:b w:val="false"/>
                <w:bCs w:val="false"/>
              </w:rPr>
              <w:t xml:space="preserve">enewable/eu/pii/&gt;</w:t>
            </w:r>
          </w:p>
        </w:tc>
        <w:tc>
          <w:tcPr>
            <w:tcW w:type="dxa" w:w="2200"/>
            <w:shd w:fill="FFEBEE" w:val="clear"/>
            <w:tcMar>
              <w:top w:type="dxa" w:w="80"/>
              <w:left w:type="dxa" w:w="100"/>
              <w:bottom w:type="dxa" w:w="80"/>
              <w:right w:type="dxa" w:w="100"/>
            </w:tcMar>
          </w:tcPr>
          <w:p>
            <w:r>
              <w:rPr>
                <w:b w:val="false"/>
                <w:bCs w:val="false"/>
              </w:rPr>
              <w:t xml:space="preserve">Gevoelige PII</w:t>
            </w:r>
          </w:p>
        </w:tc>
        <w:tc>
          <w:tcPr>
            <w:tcW w:type="dxa" w:w="2500"/>
            <w:shd w:fill="FFEBEE" w:val="clear"/>
            <w:tcMar>
              <w:top w:type="dxa" w:w="80"/>
              <w:left w:type="dxa" w:w="100"/>
              <w:bottom w:type="dxa" w:w="80"/>
              <w:right w:type="dxa" w:w="100"/>
            </w:tcMar>
          </w:tcPr>
          <w:p>
            <w:r>
              <w:rPr>
                <w:b w:val="false"/>
                <w:bCs w:val="false"/>
              </w:rPr>
              <w:t xml:space="preserve">Meterstand + klant-ID</w:t>
            </w:r>
          </w:p>
        </w:tc>
        <w:tc>
          <w:tcPr>
            <w:tcW w:type="dxa" w:w="1526"/>
            <w:shd w:fill="FFEBEE" w:val="clear"/>
            <w:tcMar>
              <w:top w:type="dxa" w:w="80"/>
              <w:left w:type="dxa" w:w="100"/>
              <w:bottom w:type="dxa" w:w="80"/>
              <w:right w:type="dxa" w:w="100"/>
            </w:tcMar>
          </w:tcPr>
          <w:p>
            <w:r>
              <w:rPr>
                <w:b w:val="false"/>
                <w:bCs w:val="false"/>
              </w:rPr>
              <w:t xml:space="preserve">STACKIT</w:t>
            </w:r>
          </w:p>
        </w:tc>
      </w:tr>
    </w:tbl>
    <w:p>
      <w:pPr>
        <w:pStyle w:val="Heading1"/>
        <w:spacing w:after="140" w:before="280"/>
      </w:pPr>
      <w:r>
        <w:t xml:space="preserve">4. Architectuurkeuzes en belangrijkste aanname</w:t>
      </w:r>
    </w:p>
    <w:p>
      <w:pPr>
        <w:pStyle w:val="ListParagraph"/>
        <w:numPr>
          <w:ilvl w:val="0"/>
          <w:numId w:val="2"/>
        </w:numPr>
        <w:spacing w:after="80"/>
      </w:pPr>
      <w:r>
        <w:t xml:space="preserve">Queues + REST Delivery Points met topic-scoped subscriptions in plaats van DMR/#noexport -- functioneel voldoende voor deze demo, architecturaal een ander mechanisme (zie sectie 7). Message VPN Bridges waren de eerst geprobeerde route, maar bleken alleen te kunnen importeren van een remote broker, niet exporteren, zonder een publiek bereikbare lokale broker.</w:t>
      </w:r>
    </w:p>
    <w:p>
      <w:pPr>
        <w:pStyle w:val="ListParagraph"/>
        <w:numPr>
          <w:ilvl w:val="0"/>
          <w:numId w:val="2"/>
        </w:numPr>
        <w:spacing w:after="80"/>
      </w:pPr>
      <w:r>
        <w:t xml:space="preserve">Eigen client-username per dataklasse met een ACL-profiel dat publiceren tot één topic-subtree beperkt (“governed sharing” aan de bron); voor de REST Delivery Points naar de cloud-brokers geldt hetzelfde -- dezelfde, dedicated username per service (hergebruikt van de bridge-opzet), niet de standaard solace-cloud-client (die de “Try Me!”-tab gebruikt).</w:t>
      </w:r>
    </w:p>
    <w:p>
      <w:pPr>
        <w:pStyle w:val="ListParagraph"/>
        <w:numPr>
          <w:ilvl w:val="0"/>
          <w:numId w:val="2"/>
        </w:numPr>
        <w:spacing w:after="80"/>
      </w:pPr>
      <w:r>
        <w:t xml:space="preserve">Single-availability lokale broker; de 3 cloud-brokers zijn wel HA.</w:t>
      </w:r>
    </w:p>
    <w:p>
      <w:pPr>
        <w:pStyle w:val="ListParagraph"/>
        <w:numPr>
          <w:ilvl w:val="0"/>
          <w:numId w:val="2"/>
        </w:numPr>
        <w:spacing w:after="80"/>
      </w:pPr>
      <w:r>
        <w:t xml:space="preserve">Alle cloud-broker services staan in public clusters (gemak van de demo); in een real-life inrichting zouden dit private clusters zijn met VPC peering, PrivateLink of vergelijkbaar.</w:t>
      </w:r>
    </w:p>
    <w:p>
      <w:pPr>
        <w:pStyle w:val="ListParagraph"/>
        <w:numPr>
          <w:ilvl w:val="0"/>
          <w:numId w:val="2"/>
        </w:numPr>
        <w:spacing w:after="80"/>
      </w:pPr>
      <w:r>
        <w:t xml:space="preserve">STACKIT: uitgangspunt is dat STACKIT komende week algemeen beschikbaar (GA) is in Solace Cloud, met dezelfde self-service deployment als AWS/Azure/GCP. Tot het zover is, mimicken we het sovereign-knooppunt met een Solace Cloud HA-broker op GCP europe-west1 (België) -- zelfde topics, ACL's en bridge-naam, alleen het fysieke eindpunt wisselt bij de overstap.</w:t>
      </w:r>
    </w:p>
    <w:p>
      <w:pPr>
        <w:pStyle w:val="Heading1"/>
        <w:spacing w:after="140" w:before="280"/>
      </w:pPr>
      <w:r>
        <w:t xml:space="preserve">5. Fasering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400"/>
        <w:gridCol w:w="2326"/>
      </w:tblGrid>
      <w:tr>
        <w:trPr>
          <w:tblHeader/>
        </w:trPr>
        <w:tc>
          <w:tcPr>
            <w:tcW w:type="dxa" w:w="700"/>
            <w:shd w:fill="D9D9D9" w:val="clear"/>
            <w:tcMar>
              <w:top w:type="dxa" w:w="80"/>
              <w:left w:type="dxa" w:w="100"/>
              <w:bottom w:type="dxa" w:w="80"/>
              <w:right w:type="dxa" w:w="100"/>
            </w:tcMar>
          </w:tcPr>
          <w:p>
            <w:r>
              <w:rPr>
                <w:b/>
                <w:bCs/>
              </w:rPr>
              <w:t xml:space="preserve">Fase</w:t>
            </w:r>
          </w:p>
        </w:tc>
        <w:tc>
          <w:tcPr>
            <w:tcW w:type="dxa" w:w="2600"/>
            <w:shd w:fill="D9D9D9" w:val="clear"/>
            <w:tcMar>
              <w:top w:type="dxa" w:w="80"/>
              <w:left w:type="dxa" w:w="100"/>
              <w:bottom w:type="dxa" w:w="80"/>
              <w:right w:type="dxa" w:w="100"/>
            </w:tcMar>
          </w:tcPr>
          <w:p>
            <w:r>
              <w:rPr>
                <w:b/>
                <w:bCs/>
              </w:rPr>
              <w:t xml:space="preserve">Wat</w:t>
            </w:r>
          </w:p>
        </w:tc>
        <w:tc>
          <w:tcPr>
            <w:tcW w:type="dxa" w:w="3400"/>
            <w:shd w:fill="D9D9D9" w:val="clear"/>
            <w:tcMar>
              <w:top w:type="dxa" w:w="80"/>
              <w:left w:type="dxa" w:w="100"/>
              <w:bottom w:type="dxa" w:w="80"/>
              <w:right w:type="dxa" w:w="100"/>
            </w:tcMar>
          </w:tcPr>
          <w:p>
            <w:r>
              <w:rPr>
                <w:b/>
                <w:bCs/>
              </w:rPr>
              <w:t xml:space="preserve">Actie</w:t>
            </w:r>
          </w:p>
        </w:tc>
        <w:tc>
          <w:tcPr>
            <w:tcW w:type="dxa" w:w="2326"/>
            <w:shd w:fill="D9D9D9" w:val="clear"/>
            <w:tcMar>
              <w:top w:type="dxa" w:w="80"/>
              <w:left w:type="dxa" w:w="100"/>
              <w:bottom w:type="dxa" w:w="80"/>
              <w:right w:type="dxa" w:w="100"/>
            </w:tcMar>
          </w:tcPr>
          <w:p>
            <w:r>
              <w:rPr>
                <w:b/>
                <w:bCs/>
              </w:rPr>
              <w:t xml:space="preserve">Wanneer</w:t>
            </w:r>
          </w:p>
        </w:tc>
      </w:tr>
      <w:tr>
        <w:tc>
          <w:tcPr>
            <w:tcW w:type="dxa" w:w="700"/>
            <w:tcMar>
              <w:top w:type="dxa" w:w="80"/>
              <w:left w:type="dxa" w:w="100"/>
              <w:bottom w:type="dxa" w:w="80"/>
              <w:right w:type="dxa" w:w="100"/>
            </w:tcMar>
          </w:tcPr>
          <w:p>
            <w:r>
              <w:rPr>
                <w:b w:val="false"/>
                <w:bCs w:val="false"/>
              </w:rPr>
              <w:t xml:space="preserve">0</w:t>
            </w:r>
          </w:p>
        </w:tc>
        <w:tc>
          <w:tcPr>
            <w:tcW w:type="dxa" w:w="2600"/>
            <w:tcMar>
              <w:top w:type="dxa" w:w="80"/>
              <w:left w:type="dxa" w:w="100"/>
              <w:bottom w:type="dxa" w:w="80"/>
              <w:right w:type="dxa" w:w="100"/>
            </w:tcMar>
          </w:tcPr>
          <w:p>
            <w:r>
              <w:rPr>
                <w:b w:val="false"/>
                <w:bCs w:val="false"/>
              </w:rPr>
              <w:t xml:space="preserve">Dit plan</w:t>
            </w:r>
          </w:p>
        </w:tc>
        <w:tc>
          <w:tcPr>
            <w:tcW w:type="dxa" w:w="3400"/>
            <w:tcMar>
              <w:top w:type="dxa" w:w="80"/>
              <w:left w:type="dxa" w:w="100"/>
              <w:bottom w:type="dxa" w:w="80"/>
              <w:right w:type="dxa" w:w="100"/>
            </w:tcMar>
          </w:tcPr>
          <w:p>
            <w:r>
              <w:rPr>
                <w:b w:val="false"/>
                <w:bCs w:val="false"/>
              </w:rPr>
              <w:t xml:space="preserve">Reviewen, akkoord geven of bijsturen</w:t>
            </w:r>
          </w:p>
        </w:tc>
        <w:tc>
          <w:tcPr>
            <w:tcW w:type="dxa" w:w="2326"/>
            <w:tcMar>
              <w:top w:type="dxa" w:w="80"/>
              <w:left w:type="dxa" w:w="100"/>
              <w:bottom w:type="dxa" w:w="80"/>
              <w:right w:type="dxa" w:w="100"/>
            </w:tcMar>
          </w:tcPr>
          <w:p>
            <w:r>
              <w:rPr>
                <w:b w:val="false"/>
                <w:bCs w:val="false"/>
              </w:rPr>
              <w:t xml:space="preserve">Nu</w:t>
            </w:r>
          </w:p>
        </w:tc>
      </w:tr>
      <w:tr>
        <w:tc>
          <w:tcPr>
            <w:tcW w:type="dxa" w:w="700"/>
            <w:shd w:fill="FFF9C4" w:val="clear"/>
            <w:tcMar>
              <w:top w:type="dxa" w:w="80"/>
              <w:left w:type="dxa" w:w="100"/>
              <w:bottom w:type="dxa" w:w="80"/>
              <w:right w:type="dxa" w:w="100"/>
            </w:tcMar>
          </w:tcPr>
          <w:p>
            <w:r>
              <w:rPr>
                <w:b w:val="false"/>
                <w:bCs w:val="false"/>
              </w:rPr>
              <w:t xml:space="preserve">1</w:t>
            </w:r>
          </w:p>
        </w:tc>
        <w:tc>
          <w:tcPr>
            <w:tcW w:type="dxa" w:w="2600"/>
            <w:shd w:fill="FFF9C4" w:val="clear"/>
            <w:tcMar>
              <w:top w:type="dxa" w:w="80"/>
              <w:left w:type="dxa" w:w="100"/>
              <w:bottom w:type="dxa" w:w="80"/>
              <w:right w:type="dxa" w:w="100"/>
            </w:tcMar>
          </w:tcPr>
          <w:p>
            <w:r>
              <w:rPr>
                <w:b w:val="false"/>
                <w:bCs w:val="false"/>
              </w:rPr>
              <w:t xml:space="preserve">STACKIT-beschikbaarheid</w:t>
            </w:r>
          </w:p>
        </w:tc>
        <w:tc>
          <w:tcPr>
            <w:tcW w:type="dxa" w:w="3400"/>
            <w:shd w:fill="FFF9C4" w:val="clear"/>
            <w:tcMar>
              <w:top w:type="dxa" w:w="80"/>
              <w:left w:type="dxa" w:w="100"/>
              <w:bottom w:type="dxa" w:w="80"/>
              <w:right w:type="dxa" w:w="100"/>
            </w:tcMar>
          </w:tcPr>
          <w:p>
            <w:r>
              <w:rPr>
                <w:b w:val="false"/>
                <w:bCs w:val="false"/>
              </w:rPr>
              <w:t xml:space="preserve">✅ Interim-broker op GCP europe-west1 aangemaakt; vóór repetitie/DADD checken of STACKIT al GA is</w:t>
            </w:r>
          </w:p>
        </w:tc>
        <w:tc>
          <w:tcPr>
            <w:tcW w:type="dxa" w:w="2326"/>
            <w:shd w:fill="FFF9C4" w:val="clear"/>
            <w:tcMar>
              <w:top w:type="dxa" w:w="80"/>
              <w:left w:type="dxa" w:w="100"/>
              <w:bottom w:type="dxa" w:w="80"/>
              <w:right w:type="dxa" w:w="100"/>
            </w:tcMar>
          </w:tcPr>
          <w:p>
            <w:r>
              <w:rPr>
                <w:b w:val="false"/>
                <w:bCs w:val="false"/>
              </w:rPr>
              <w:t xml:space="preserve">Interim: gereed</w:t>
            </w:r>
          </w:p>
        </w:tc>
      </w:tr>
      <w:tr>
        <w:tc>
          <w:tcPr>
            <w:tcW w:type="dxa" w:w="700"/>
            <w:tcMar>
              <w:top w:type="dxa" w:w="80"/>
              <w:left w:type="dxa" w:w="100"/>
              <w:bottom w:type="dxa" w:w="80"/>
              <w:right w:type="dxa" w:w="100"/>
            </w:tcMar>
          </w:tcPr>
          <w:p>
            <w:r>
              <w:rPr>
                <w:b w:val="false"/>
                <w:bCs w:val="false"/>
              </w:rPr>
              <w:t xml:space="preserve">2</w:t>
            </w:r>
          </w:p>
        </w:tc>
        <w:tc>
          <w:tcPr>
            <w:tcW w:type="dxa" w:w="2600"/>
            <w:tcMar>
              <w:top w:type="dxa" w:w="80"/>
              <w:left w:type="dxa" w:w="100"/>
              <w:bottom w:type="dxa" w:w="80"/>
              <w:right w:type="dxa" w:w="100"/>
            </w:tcMar>
          </w:tcPr>
          <w:p>
            <w:r>
              <w:rPr>
                <w:b w:val="false"/>
                <w:bCs w:val="false"/>
              </w:rPr>
              <w:t xml:space="preserve">Solace Cloud account</w:t>
            </w:r>
          </w:p>
        </w:tc>
        <w:tc>
          <w:tcPr>
            <w:tcW w:type="dxa" w:w="3400"/>
            <w:tcMar>
              <w:top w:type="dxa" w:w="80"/>
              <w:left w:type="dxa" w:w="100"/>
              <w:bottom w:type="dxa" w:w="80"/>
              <w:right w:type="dxa" w:w="100"/>
            </w:tcMar>
          </w:tcPr>
          <w:p>
            <w:r>
              <w:rPr>
                <w:b w:val="false"/>
                <w:bCs w:val="false"/>
              </w:rPr>
              <w:t xml:space="preserve">✅ Account + API-token aangemaakt</w:t>
            </w:r>
          </w:p>
        </w:tc>
        <w:tc>
          <w:tcPr>
            <w:tcW w:type="dxa" w:w="2326"/>
            <w:tcMar>
              <w:top w:type="dxa" w:w="80"/>
              <w:left w:type="dxa" w:w="100"/>
              <w:bottom w:type="dxa" w:w="80"/>
              <w:right w:type="dxa" w:w="100"/>
            </w:tcMar>
          </w:tcPr>
          <w:p>
            <w:r>
              <w:rPr>
                <w:b w:val="false"/>
                <w:bCs w:val="false"/>
              </w:rPr>
              <w:t xml:space="preserve">Gereed</w:t>
            </w:r>
          </w:p>
        </w:tc>
      </w:tr>
      <w:tr>
        <w:tc>
          <w:tcPr>
            <w:tcW w:type="dxa" w:w="700"/>
            <w:tcMar>
              <w:top w:type="dxa" w:w="80"/>
              <w:left w:type="dxa" w:w="100"/>
              <w:bottom w:type="dxa" w:w="80"/>
              <w:right w:type="dxa" w:w="100"/>
            </w:tcMar>
          </w:tcPr>
          <w:p>
            <w:r>
              <w:rPr>
                <w:b w:val="false"/>
                <w:bCs w:val="false"/>
              </w:rPr>
              <w:t xml:space="preserve">3</w:t>
            </w:r>
          </w:p>
        </w:tc>
        <w:tc>
          <w:tcPr>
            <w:tcW w:type="dxa" w:w="2600"/>
            <w:tcMar>
              <w:top w:type="dxa" w:w="80"/>
              <w:left w:type="dxa" w:w="100"/>
              <w:bottom w:type="dxa" w:w="80"/>
              <w:right w:type="dxa" w:w="100"/>
            </w:tcMar>
          </w:tcPr>
          <w:p>
            <w:r>
              <w:rPr>
                <w:b w:val="false"/>
                <w:bCs w:val="false"/>
              </w:rPr>
              <w:t xml:space="preserve">Cloud-brokers aanmaken</w:t>
            </w:r>
          </w:p>
        </w:tc>
        <w:tc>
          <w:tcPr>
            <w:tcW w:type="dxa" w:w="3400"/>
            <w:tcMar>
              <w:top w:type="dxa" w:w="80"/>
              <w:left w:type="dxa" w:w="100"/>
              <w:bottom w:type="dxa" w:w="80"/>
              <w:right w:type="dxa" w:w="100"/>
            </w:tcMar>
          </w:tcPr>
          <w:p>
            <w:r>
              <w:rPr>
                <w:b w:val="false"/>
                <w:bCs w:val="false"/>
              </w:rPr>
              <w:t xml:space="preserve">✅ Alle 3 gereed: AWS, Azure, STACKIT/GCP-interim</w:t>
            </w:r>
          </w:p>
        </w:tc>
        <w:tc>
          <w:tcPr>
            <w:tcW w:type="dxa" w:w="2326"/>
            <w:tcMar>
              <w:top w:type="dxa" w:w="80"/>
              <w:left w:type="dxa" w:w="100"/>
              <w:bottom w:type="dxa" w:w="80"/>
              <w:right w:type="dxa" w:w="100"/>
            </w:tcMar>
          </w:tcPr>
          <w:p>
            <w:r>
              <w:rPr>
                <w:b w:val="false"/>
                <w:bCs w:val="false"/>
              </w:rPr>
              <w:t xml:space="preserve">Gereed</w:t>
            </w:r>
          </w:p>
        </w:tc>
      </w:tr>
      <w:tr>
        <w:tc>
          <w:tcPr>
            <w:tcW w:type="dxa" w:w="700"/>
            <w:tcMar>
              <w:top w:type="dxa" w:w="80"/>
              <w:left w:type="dxa" w:w="100"/>
              <w:bottom w:type="dxa" w:w="80"/>
              <w:right w:type="dxa" w:w="100"/>
            </w:tcMar>
          </w:tcPr>
          <w:p>
            <w:r>
              <w:rPr>
                <w:b w:val="false"/>
                <w:bCs w:val="false"/>
              </w:rPr>
              <w:t xml:space="preserve">4</w:t>
            </w:r>
          </w:p>
        </w:tc>
        <w:tc>
          <w:tcPr>
            <w:tcW w:type="dxa" w:w="2600"/>
            <w:tcMar>
              <w:top w:type="dxa" w:w="80"/>
              <w:left w:type="dxa" w:w="100"/>
              <w:bottom w:type="dxa" w:w="80"/>
              <w:right w:type="dxa" w:w="100"/>
            </w:tcMar>
          </w:tcPr>
          <w:p>
            <w:r>
              <w:rPr>
                <w:b w:val="false"/>
                <w:bCs w:val="false"/>
              </w:rPr>
              <w:t xml:space="preserve">Lokale broker + RDP-export</w:t>
            </w:r>
          </w:p>
        </w:tc>
        <w:tc>
          <w:tcPr>
            <w:tcW w:type="dxa" w:w="3400"/>
            <w:tcMar>
              <w:top w:type="dxa" w:w="80"/>
              <w:left w:type="dxa" w:w="100"/>
              <w:bottom w:type="dxa" w:w="80"/>
              <w:right w:type="dxa" w:w="100"/>
            </w:tcMar>
          </w:tcPr>
          <w:p>
            <w:r>
              <w:rPr>
                <w:b w:val="false"/>
                <w:bCs w:val="false"/>
              </w:rPr>
              <w:t xml:space="preserve">🔧 Aangepaste optie 2 (Emils keuze) geïmplementeerd: queues + REST Delivery Points i.p.v. bridges voor export, demo-apps ongewijzigd (message promotion vangt DIRECT-berichten automatisch op). Testrun + validatie door Emil nodig</w:t>
            </w:r>
          </w:p>
        </w:tc>
        <w:tc>
          <w:tcPr>
            <w:tcW w:type="dxa" w:w="2326"/>
            <w:tcMar>
              <w:top w:type="dxa" w:w="80"/>
              <w:left w:type="dxa" w:w="100"/>
              <w:bottom w:type="dxa" w:w="80"/>
              <w:right w:type="dxa" w:w="100"/>
            </w:tcMar>
          </w:tcPr>
          <w:p>
            <w:r>
              <w:rPr>
                <w:b w:val="false"/>
                <w:bCs w:val="false"/>
              </w:rPr>
              <w:t xml:space="preserve">Testrun nu</w:t>
            </w:r>
          </w:p>
        </w:tc>
      </w:tr>
      <w:tr>
        <w:tc>
          <w:tcPr>
            <w:tcW w:type="dxa" w:w="700"/>
            <w:tcMar>
              <w:top w:type="dxa" w:w="80"/>
              <w:left w:type="dxa" w:w="100"/>
              <w:bottom w:type="dxa" w:w="80"/>
              <w:right w:type="dxa" w:w="100"/>
            </w:tcMar>
          </w:tcPr>
          <w:p>
            <w:r>
              <w:rPr>
                <w:b w:val="false"/>
                <w:bCs w:val="false"/>
              </w:rPr>
              <w:t xml:space="preserve">5</w:t>
            </w:r>
          </w:p>
        </w:tc>
        <w:tc>
          <w:tcPr>
            <w:tcW w:type="dxa" w:w="2600"/>
            <w:tcMar>
              <w:top w:type="dxa" w:w="80"/>
              <w:left w:type="dxa" w:w="100"/>
              <w:bottom w:type="dxa" w:w="80"/>
              <w:right w:type="dxa" w:w="100"/>
            </w:tcMar>
          </w:tcPr>
          <w:p>
            <w:r>
              <w:rPr>
                <w:b w:val="false"/>
                <w:bCs w:val="false"/>
              </w:rPr>
              <w:t xml:space="preserve">Demo-apps valideren</w:t>
            </w:r>
          </w:p>
        </w:tc>
        <w:tc>
          <w:tcPr>
            <w:tcW w:type="dxa" w:w="3400"/>
            <w:tcMar>
              <w:top w:type="dxa" w:w="80"/>
              <w:left w:type="dxa" w:w="100"/>
              <w:bottom w:type="dxa" w:w="80"/>
              <w:right w:type="dxa" w:w="100"/>
            </w:tcMar>
          </w:tcPr>
          <w:p>
            <w:r>
              <w:rPr>
                <w:b w:val="false"/>
                <w:bCs w:val="false"/>
              </w:rPr>
              <w:t xml:space="preserve">Alle 3 tools end-to-end testen</w:t>
            </w:r>
          </w:p>
        </w:tc>
        <w:tc>
          <w:tcPr>
            <w:tcW w:type="dxa" w:w="2326"/>
            <w:tcMar>
              <w:top w:type="dxa" w:w="80"/>
              <w:left w:type="dxa" w:w="100"/>
              <w:bottom w:type="dxa" w:w="80"/>
              <w:right w:type="dxa" w:w="100"/>
            </w:tcMar>
          </w:tcPr>
          <w:p>
            <w:r>
              <w:rPr>
                <w:b w:val="false"/>
                <w:bCs w:val="false"/>
              </w:rPr>
              <w:t xml:space="preserve">Meerdere keren vóór DADD</w:t>
            </w:r>
          </w:p>
        </w:tc>
      </w:tr>
      <w:tr>
        <w:tc>
          <w:tcPr>
            <w:tcW w:type="dxa" w:w="700"/>
            <w:tcMar>
              <w:top w:type="dxa" w:w="80"/>
              <w:left w:type="dxa" w:w="100"/>
              <w:bottom w:type="dxa" w:w="80"/>
              <w:right w:type="dxa" w:w="100"/>
            </w:tcMar>
          </w:tcPr>
          <w:p>
            <w:r>
              <w:rPr>
                <w:b w:val="false"/>
                <w:bCs w:val="false"/>
              </w:rPr>
              <w:t xml:space="preserve">6</w:t>
            </w:r>
          </w:p>
        </w:tc>
        <w:tc>
          <w:tcPr>
            <w:tcW w:type="dxa" w:w="2600"/>
            <w:tcMar>
              <w:top w:type="dxa" w:w="80"/>
              <w:left w:type="dxa" w:w="100"/>
              <w:bottom w:type="dxa" w:w="80"/>
              <w:right w:type="dxa" w:w="100"/>
            </w:tcMar>
          </w:tcPr>
          <w:p>
            <w:r>
              <w:rPr>
                <w:b w:val="false"/>
                <w:bCs w:val="false"/>
              </w:rPr>
              <w:t xml:space="preserve">Draaiboek + fallback</w:t>
            </w:r>
          </w:p>
        </w:tc>
        <w:tc>
          <w:tcPr>
            <w:tcW w:type="dxa" w:w="3400"/>
            <w:tcMar>
              <w:top w:type="dxa" w:w="80"/>
              <w:left w:type="dxa" w:w="100"/>
              <w:bottom w:type="dxa" w:w="80"/>
              <w:right w:type="dxa" w:w="100"/>
            </w:tcMar>
          </w:tcPr>
          <w:p>
            <w:r>
              <w:rPr>
                <w:b w:val="false"/>
                <w:bCs w:val="false"/>
              </w:rPr>
              <w:t xml:space="preserve">Live-timing oefenen, schermopname maken</w:t>
            </w:r>
          </w:p>
        </w:tc>
        <w:tc>
          <w:tcPr>
            <w:tcW w:type="dxa" w:w="2326"/>
            <w:tcMar>
              <w:top w:type="dxa" w:w="80"/>
              <w:left w:type="dxa" w:w="100"/>
              <w:bottom w:type="dxa" w:w="80"/>
              <w:right w:type="dxa" w:w="100"/>
            </w:tcMar>
          </w:tcPr>
          <w:p>
            <w:r>
              <w:rPr>
                <w:b w:val="false"/>
                <w:bCs w:val="false"/>
              </w:rPr>
              <w:t xml:space="preserve">Week vóór DADD</w:t>
            </w:r>
          </w:p>
        </w:tc>
      </w:tr>
      <w:tr>
        <w:tc>
          <w:tcPr>
            <w:tcW w:type="dxa" w:w="700"/>
            <w:tcMar>
              <w:top w:type="dxa" w:w="80"/>
              <w:left w:type="dxa" w:w="100"/>
              <w:bottom w:type="dxa" w:w="80"/>
              <w:right w:type="dxa" w:w="100"/>
            </w:tcMar>
          </w:tcPr>
          <w:p>
            <w:r>
              <w:rPr>
                <w:b w:val="false"/>
                <w:bCs w:val="false"/>
              </w:rPr>
              <w:t xml:space="preserve">7</w:t>
            </w:r>
          </w:p>
        </w:tc>
        <w:tc>
          <w:tcPr>
            <w:tcW w:type="dxa" w:w="2600"/>
            <w:tcMar>
              <w:top w:type="dxa" w:w="80"/>
              <w:left w:type="dxa" w:w="100"/>
              <w:bottom w:type="dxa" w:w="80"/>
              <w:right w:type="dxa" w:w="100"/>
            </w:tcMar>
          </w:tcPr>
          <w:p>
            <w:r>
              <w:rPr>
                <w:b w:val="false"/>
                <w:bCs w:val="false"/>
              </w:rPr>
              <w:t xml:space="preserve">Op de dag zelf</w:t>
            </w:r>
          </w:p>
        </w:tc>
        <w:tc>
          <w:tcPr>
            <w:tcW w:type="dxa" w:w="3400"/>
            <w:tcMar>
              <w:top w:type="dxa" w:w="80"/>
              <w:left w:type="dxa" w:w="100"/>
              <w:bottom w:type="dxa" w:w="80"/>
              <w:right w:type="dxa" w:w="100"/>
            </w:tcMar>
          </w:tcPr>
          <w:p>
            <w:r>
              <w:rPr>
                <w:b w:val="false"/>
                <w:bCs w:val="false"/>
              </w:rPr>
              <w:t xml:space="preserve">Broker + bridges + demo-apps klaarzetten</w:t>
            </w:r>
          </w:p>
        </w:tc>
        <w:tc>
          <w:tcPr>
            <w:tcW w:type="dxa" w:w="2326"/>
            <w:tcMar>
              <w:top w:type="dxa" w:w="80"/>
              <w:left w:type="dxa" w:w="100"/>
              <w:bottom w:type="dxa" w:w="80"/>
              <w:right w:type="dxa" w:w="100"/>
            </w:tcMar>
          </w:tcPr>
          <w:p>
            <w:r>
              <w:rPr>
                <w:b w:val="false"/>
                <w:bCs w:val="false"/>
              </w:rPr>
              <w:t xml:space="preserve">Vlak voor het slot</w:t>
            </w:r>
          </w:p>
        </w:tc>
      </w:tr>
    </w:tbl>
    <w:p>
      <w:pPr>
        <w:pStyle w:val="Heading1"/>
        <w:spacing w:after="140" w:before="280"/>
      </w:pPr>
      <w:r>
        <w:t xml:space="preserve">6. Draaiboek voor de live demo</w:t>
      </w:r>
    </w:p>
    <w:p>
      <w:pPr>
        <w:spacing w:after="140"/>
      </w:pPr>
      <w:r>
        <w:t xml:space="preserve">Drie Solace Cloud “Try Me!”-tabs (AWS/Azure/STACKIT) zichtbaar naast elkaar: (1) stm publiceert publieke data → verschijnt alleen op AWS; (2) het Python-script publiceert niet-persoonlijke EU-data → verschijnt alleen op Azure; (3) SDKPerf publiceert PII → verschijnt uitsluitend op STACKIT, expliciet niet op de andere twee. Neem vooraf een schermopname als fallback.</w:t>
      </w:r>
    </w:p>
    <w:p>
      <w:pPr>
        <w:pStyle w:val="Heading1"/>
        <w:spacing w:after="140" w:before="280"/>
      </w:pPr>
      <w:r>
        <w:t xml:space="preserve">7. Wat ontbreekt of beter kan (samenvatting)</w:t>
      </w:r>
    </w:p>
    <w:p>
      <w:pPr>
        <w:pStyle w:val="ListParagraph"/>
        <w:numPr>
          <w:ilvl w:val="0"/>
          <w:numId w:val="2"/>
        </w:numPr>
        <w:spacing w:after="80"/>
      </w:pPr>
      <w:r>
        <w:t xml:space="preserve">STACKIT GA-timing is een restrisico, geen kernonzekerheid meer: mocht de planning schuiven, draait de demo door op de GCP-europe-west1-interim-broker -- controleer dit kort vóór de repetitie/DADD.</w:t>
      </w:r>
    </w:p>
    <w:p>
      <w:pPr>
        <w:pStyle w:val="ListParagraph"/>
        <w:numPr>
          <w:ilvl w:val="0"/>
          <w:numId w:val="2"/>
        </w:numPr>
        <w:spacing w:after="80"/>
      </w:pPr>
      <w:r>
        <w:t xml:space="preserve">Public clusters in plaats van private/VPC-gepeerd: bewuste vereenvoudiging voor de demo, benoem dit expliciet in de presentatie zelf.</w:t>
      </w:r>
    </w:p>
    <w:p>
      <w:pPr>
        <w:pStyle w:val="ListParagraph"/>
        <w:numPr>
          <w:ilvl w:val="0"/>
          <w:numId w:val="2"/>
        </w:numPr>
        <w:spacing w:after="80"/>
      </w:pPr>
      <w:r>
        <w:t xml:space="preserve">Voor een architecturaal preciezere weergave van #noexport zou een DMR-cluster nodig zijn in plaats van queues/RDP's -- bewust buiten scope voor deze eerste versie.</w:t>
      </w:r>
    </w:p>
    <w:p>
      <w:pPr>
        <w:pStyle w:val="ListParagraph"/>
        <w:numPr>
          <w:ilvl w:val="0"/>
          <w:numId w:val="2"/>
        </w:numPr>
        <w:spacing w:after="80"/>
      </w:pPr>
      <w:r>
        <w:t xml:space="preserve">De RDP-attribuutnamen zijn gecrosscheckt tegen een werkende Go SEMP-client (Solace's eigen CLI-documentatie geeft geen REST-attribuutnamen), maar het REST-host/poort per cloud-service (aanname: 9443) moet Emil nog bevestigen op de Connect-tab -- eerste concrete vervolgstap.</w:t>
      </w:r>
    </w:p>
    <w:p>
      <w:pPr>
        <w:pStyle w:val="ListParagraph"/>
        <w:numPr>
          <w:ilvl w:val="0"/>
          <w:numId w:val="2"/>
        </w:numPr>
        <w:spacing w:after="80"/>
      </w:pPr>
      <w:r>
        <w:t xml:space="preserve">Geen geautomatiseerde provisioning in één commando, geen monitoring/observability, geen CI -- bewuste keuzes voor een eenmalige demo-opzet, zie PLAN.md voor de volledige afweging.</w:t>
      </w:r>
    </w:p>
    <w:p>
      <w:pPr>
        <w:pStyle w:val="ListParagraph"/>
        <w:numPr>
          <w:ilvl w:val="0"/>
          <w:numId w:val="2"/>
        </w:numPr>
        <w:spacing w:after="80"/>
      </w:pPr>
      <w:r>
        <w:t xml:space="preserve">Azure is fysiek in Nederland maar organisatorisch een Amerikaanse hyperscaler -- de moeite waard om in de presentatie zelf te benoemen.</w:t>
      </w:r>
    </w:p>
    <w:p>
      <w:pPr>
        <w:pStyle w:val="Heading1"/>
        <w:spacing w:after="140" w:before="280"/>
      </w:pPr>
      <w:r>
        <w:t xml:space="preserve">8. Vervolgstappen</w:t>
      </w:r>
    </w:p>
    <w:p>
      <w:pPr>
        <w:pStyle w:val="ListParagraph"/>
        <w:numPr>
          <w:ilvl w:val="0"/>
          <w:numId w:val="2"/>
        </w:numPr>
        <w:spacing w:after="80"/>
      </w:pPr>
      <w:r>
        <w:t xml:space="preserve">REST-host/poort per cloud-service bevestigen op de Connect-tab (en REST-messaging aanzetten waar nog uit) en configure-rdp-export.sh draaien.</w:t>
      </w:r>
    </w:p>
    <w:p>
      <w:pPr>
        <w:pStyle w:val="ListParagraph"/>
        <w:numPr>
          <w:ilvl w:val="0"/>
          <w:numId w:val="2"/>
        </w:numPr>
        <w:spacing w:after="80"/>
      </w:pPr>
      <w:r>
        <w:t xml:space="preserve">Controleren dat de 3 queues gevuld raken en de 3 REST Delivery Points "Up" komen in Broker Manager.</w:t>
      </w:r>
    </w:p>
    <w:p>
      <w:pPr>
        <w:pStyle w:val="ListParagraph"/>
        <w:numPr>
          <w:ilvl w:val="0"/>
          <w:numId w:val="2"/>
        </w:numPr>
        <w:spacing w:after="80"/>
      </w:pPr>
      <w:r>
        <w:t xml:space="preserve">Eerste end-to-end testronde: publiceren met stm/python/sdkperf en per cloud-broker controleren dat het bericht op dezelfde topic aankomt, en nergens anders.</w:t>
      </w:r>
    </w:p>
    <w:p>
      <w:pPr>
        <w:pStyle w:val="ListParagraph"/>
        <w:numPr>
          <w:ilvl w:val="0"/>
          <w:numId w:val="2"/>
        </w:numPr>
        <w:spacing w:after="80"/>
      </w:pPr>
      <w:r>
        <w:t xml:space="preserve">Daarna draaiboek en fallback-opname voorbereiden.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893affdbef23b3476fca69c3fad559f0b9a9f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2026-09-28T08:11:47.127Z</dcterms:created>
  <dcterms:modified xsi:type="dcterms:W3CDTF">2026-09-28T08:11:47.137Z</dcterms:modified>
</cp:coreProperties>
</file>

<file path=docProps/custom.xml><?xml version="1.0" encoding="utf-8"?>
<Properties xmlns="http://schemas.openxmlformats.org/officeDocument/2006/custom-properties" xmlns:vt="http://schemas.openxmlformats.org/officeDocument/2006/docPropsVTypes"/>
</file>