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 (10 postcodegebieden)</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 (20 klant-ID's)</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ListParagraph"/>
        <w:numPr>
          <w:ilvl w:val="0"/>
          <w:numId w:val="2"/>
        </w:numPr>
        <w:spacing w:after="80"/>
      </w:pPr>
      <w:r>
        <w:t xml:space="preserve">Topics zijn dynamisch: elke tool voegt echte veldwaarden uit het bericht toe aan de topic, willekeurig per bericht uit een vaste lijst -- publiek uit 3 types x 5 markten (bijv. .../price/intraday-price/BE), niet-persoonlijk EU uit 10 postcodegebieden (.../load/grid-load-aggregate/3500-NL), PII uit 20 fictieve klant-ID's (.../reading/ENW-NL-000482) --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python-eu-nonpersonal en sdkperf-pii alle drie bevestigd. Sindsdien versterkt: elke app publiceert nu alle 3 dataklassen per run (AWS+Azure+STACKIT), niet meer maar één per app</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~~Variatie uitbreiden (type/market voor publiek, postcodeArea/customerId voor eu-ops/eu-pii) en TODO.md/AGENTS.md/SKILLS.md toevoegen zodat de sessie gesloten en later hervat kan worden.~~ ✅ -- zie PLAN.md sectie 13, punten 36-39. TODO.md bevat nu de actuele, geprioriteerde actielijst (in plaats van deze paragraaf); AGENTS.md en SKILLS.md geven een AI-coding-agent of nieuwe bijdrager de architectuurconventies resp. herbruikbare recepten.</w:t>
      </w:r>
    </w:p>
    <w:p>
      <w:pPr>
        <w:pStyle w:val="ListParagraph"/>
        <w:numPr>
          <w:ilvl w:val="0"/>
          <w:numId w:val="2"/>
        </w:numPr>
        <w:spacing w:after="80"/>
      </w:pPr>
      <w:r>
        <w:t xml:space="preserve">Daarna: draaiboek en fallback-opname voorbereiden (zie TODO.md, "Moet vóór DADD").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2026-09-28T16:08:12.301Z</dcterms:created>
  <dcterms:modified xsi:type="dcterms:W3CDTF">2026-09-28T16:08:12.306Z</dcterms:modified>
</cp:coreProperties>
</file>

<file path=docProps/custom.xml><?xml version="1.0" encoding="utf-8"?>
<Properties xmlns="http://schemas.openxmlformats.org/officeDocument/2006/custom-properties" xmlns:vt="http://schemas.openxmlformats.org/officeDocument/2006/docPropsVTypes"/>
</file>