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spacing w:after="80"/>
      </w:pPr>
      <w:r>
        <w:t xml:space="preserve">Plan van aanpak</w:t>
      </w:r>
    </w:p>
    <w:p>
      <w:pPr>
        <w:spacing w:after="200"/>
      </w:pPr>
      <w:r>
        <w:rPr>
          <w:b/>
          <w:bCs/>
          <w:sz w:val="28"/>
          <w:szCs w:val="28"/>
        </w:rPr>
        <w:t xml:space="preserve">DADD 2026 demo: soevereine, event-driven infrastructuur (Enewable)</w:t>
      </w:r>
    </w:p>
    <w:p>
      <w:pPr>
        <w:spacing w:after="140"/>
      </w:pPr>
      <w:r>
        <w:rPr>
          <w:i/>
          <w:iCs/>
        </w:rPr>
        <w:t xml:space="preserve">Bij de presentatie “Ontwerpen voor soevereiniteit: de verborgen kosten van het verlaten van de hyperscalers” van Emil Zegers, DADD 2026.</w:t>
      </w:r>
    </w:p>
    <w:p>
      <w:pPr>
        <w:spacing w:after="140"/>
      </w:pPr>
      <w:r>
        <w:rPr>
          <w:sz w:val="20"/>
          <w:szCs w:val="20"/>
        </w:rPr>
        <w:t xml:space="preserve">Dit is een samenvatting. Het volledige, meest actuele plan (met alle configuratiedetails, scripts en het complete testplan) staat in PLAN.md in de projectrepo: github.com/taatuut/dadd-2026-solace-stackit-soevereine-cloud.</w:t>
      </w:r>
    </w:p>
    <w:p>
      <w:pPr>
        <w:spacing w:after="140"/>
      </w:pPr>
      <w:r>
        <w:rPr>
          <w:i/>
          <w:iCs/>
          <w:sz w:val="20"/>
          <w:szCs w:val="20"/>
        </w:rPr>
        <w:t xml:space="preserve">Voortgang: bridge-export bleek alleen te kunnen importeren, niet exporteren, zonder een publiek bereikbare lokale broker -- Emil koos daarop queues + REST Delivery Points (RDP's): demo-apps blijven ongewijzigd DIRECT publiceren, 3 queues vangen dit automatisch op (Solace "message promotion"), 3 RDP's sturen elke queue native door naar de bijbehorende cloud-broker. Oude bridge-configuratie opgeruimd. Eerste testrun faalde op de rest-consumers door een verkeerde authenticationScheme-waarde ("basic" i.p.v. "http-basic") -- gefixt, en de herhaalde run draait nu volledig schoon (0 WARN). Broker Manager toont echter alle 3 RDP's als "Down" met HTTP 503 "Service Unavailable" op de queue-binding. Een directe curl-POST naar alle 3 cloud-brokers, met dezelfde host/poort/credentials/topic-constructie als de RDP gebruikt, lukt gewoon (200 OK) -- dit sluit REST-incoming-uitgeschakeld, verkeerde auth, host/poort en topic-mapping definitief uit; de REST-consumer se eigen tellers staan nog op 0 (nog nooit een échte berichtaflevering geprobeerd). De eerste poging tot een echte end-to-end publish-test liep meteen vast op de demo-app zelf: de geïnstalleerde Solace Try-Me CLI (stm v1.0.0) kent geen "publish"-subcommando, alleen "send" -- gefixt in publish-public.sh. Na die fix loopt de test alweer vast, nu op een nieuw en apart probleem: de lokale broker wijst pub-public af met "The RADIUS profile is shutdown" -- dit gebeurt vóórdat de RDP-keten zelfs bereikt wordt, dus los van het 503-onderzoek. Bevestigd en gefixt: de enewable-VPN se auth-type stond daadwerkelijk op "radius" zonder enig RADIUS-profiel; configure-local-broker.sh PATCHt de VPN nu naar "internal". Na die fix lukte de verbinding, maar elk bericht werd geweigerd ("Sending guaranteed message is not allowed by router for this client"): stm send publiceert standaard PERSISTENT, niet DIRECT. Ook gefixt: --delivery-mode DIRECT toegevoegd. Daarna landde het bericht eindelijk in de lokale queue (message-promotion bevestigd werkend, spooledMsgCount: 10), maar kwam niet aan op AWS. Root cause gevonden: requestTargetEvaluation op de queue-binding stond op "none", dus "${topic()}" werd nooit geëvalueerd -- elke queue-binding postte naar het letterlijke pad "/${topic()}", vermoedelijk geblokkeerd door een WAF (Log4Shell-achtig patroon). Gefixt in configure-rdp-export.sh. Vervolg: een herhaalde diagnose (ronde 5, spooledMsgCount inmiddels 20) bevestigt dat de fix daadwerkelijk live staat, maar de 503 en httpRequestTxMsgCount: 0 blijven volledig ongewijzigd -- dus niet de (enige) oorzaak. Nieuw spoor: de REST-consumer toont "lastConnectionFailureReason": "Peer TCP Closed" -- mogelijk sluit de cloud-broker de persistente verbindingspool van de RDP actief, terwijl een losse curl-POST (nieuwe verbinding per keer) altijd wél slaagt. Nieuw diagnosescript watch-rdp-live.sh moet dit bevestigen of ontkrachten -- de eerste run leverde alleen null-waarden op door een bug in het script zelf (jq-filter las van het verkeerde JSON-niveau), inmiddels gefixt. De herhaalde run met correcte data toont de echte root cause: de queue-binding bindt zich nooit aan zijn eigen lokale queue (bindRequestCount: 0, "Consumers: 0" in Broker Manager) omdat clientProfileName "default" (gebruikt door zowel de RDP als de demo-app publishers) allowGuaranteedMsgReceiveEnabled: false heeft -- en een RDP-binding is precies een guaranteed-receive-operatie. Het "Peer TCP Closed"-spoor bleek een rode haring: de binding faalt onafhankelijk van of de REST-consumer gezond is. Gefixt: een los clientprofiel "rdp-deliver" met allowGuaranteedMsgReceiveEnabled: true, en alle 3 RDP's daarop gezet. Sanity-check vóór het toepassen: een handmatige curl-POST rechtstreeks naar AWS (zelfde credentials als de RDP) geeft 200 OK en het bericht verschijnt meteen in AWS "Try Me!" -- AWS-kant, credentials en topic-mapping zijn dus 100% in orde, het probleem zat uitsluitend lokaal. Na het toepassen van de fix: WERKT. Alle 3 queue-bindings staan op up:true met bindSuccessCount:1 (voor het eerst ooit daadwerkelijk gebonden aan hun queue), RDP-aws leverde 21 van de 30 wachtende berichten daadwerkelijk af, en AWS "Try Me!" toont het echte bericht aankomen op enewable/public/market/price -- de RDP-export werkt nu volledig end-to-end.</w:t>
      </w:r>
    </w:p>
    <w:p>
      <w:pPr>
        <w:pStyle w:val="Heading1"/>
        <w:spacing w:after="140" w:before="280"/>
      </w:pPr>
      <w:r>
        <w:t xml:space="preserve">1. Context en doelstelling</w:t>
      </w:r>
    </w:p>
    <w:p>
      <w:pPr>
        <w:spacing w:after="140"/>
      </w:pPr>
      <w:r>
        <w:t xml:space="preserve">De presentatie betoogt dat soevereiniteit niet primair een opslagvraagstuk is (“waar staat de data”) maar een bewegingsvraagstuk (“wat kost het om data te verplaatsen, en onder welke voorwaarden mag dat”). Egress bij hyperscalers is 5-10x duurder dan bij Europese aanbieders; event-driven architectuur (alleen deltas versturen, geclassificeerd en gefilterd vóór ze een grens oversteken) draait die rekensom om -- geschat 80-95% minder cross-boundary verkeer.</w:t>
      </w:r>
    </w:p>
    <w:p>
      <w:pPr>
        <w:spacing w:after="140"/>
      </w:pPr>
      <w:r>
        <w:t xml:space="preserve">Deze demo maakt dat verhaal letterlijk zichtbaar: vier Solace-brokers waarin data, puur op basis van zijn classificatie, automatisch en gegarandeerd naar de juiste (en alleen de juiste) bestemming stroomt, op te zetten binnen enkele minuten voor een podium-demo.</w:t>
      </w:r>
    </w:p>
    <w:p>
      <w:pPr>
        <w:pStyle w:val="Heading1"/>
        <w:spacing w:after="140" w:before="280"/>
      </w:pPr>
      <w:r>
        <w:t xml:space="preserve">2. Scenario: Enewable</w:t>
      </w:r>
    </w:p>
    <w:p>
      <w:pPr>
        <w:spacing w:after="140"/>
      </w:pPr>
      <w:r>
        <w:t xml:space="preserve">Enewable is een fictieve, nieuwe Nederlandse energieleverancier met drie dataklassen, oplopend in gevoeligheid: publieke marktdata, niet-persoonlijke geaggregeerde operationele data, en gevoelige klant-PII. Alle voorbeelddata in de demo is gesynthetiseerd.</w:t>
      </w:r>
    </w:p>
    <w:p>
      <w:pPr>
        <w:pStyle w:val="Heading1"/>
        <w:spacing w:after="140" w:before="280"/>
      </w:pPr>
      <w:r>
        <w:t xml:space="preserve">3. Topologie</w:t>
      </w:r>
    </w:p>
    <w:p>
      <w:pPr>
        <w:spacing w:after="200"/>
        <w:jc w:val="center"/>
      </w:pPr>
      <w:r>
        <w:drawing>
          <wp:inline distT="0" distB="0" distL="0" distR="0">
            <wp:extent cx="5524500" cy="2667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5524500" cy="2667000"/>
                    </a:xfrm>
                    <a:prstGeom prst="rect">
                      <a:avLst/>
                    </a:prstGeom>
                  </pic:spPr>
                </pic:pic>
              </a:graphicData>
            </a:graphic>
          </wp:inline>
        </w:drawing>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800"/>
        <w:gridCol w:w="2600"/>
        <w:gridCol w:w="2200"/>
        <w:gridCol w:w="2426"/>
      </w:tblGrid>
      <w:tr>
        <w:trPr>
          <w:tblHeader/>
        </w:trPr>
        <w:tc>
          <w:tcPr>
            <w:tcW w:type="dxa" w:w="1800"/>
            <w:shd w:fill="D9D9D9" w:val="clear"/>
            <w:tcMar>
              <w:top w:type="dxa" w:w="80"/>
              <w:left w:type="dxa" w:w="100"/>
              <w:bottom w:type="dxa" w:w="80"/>
              <w:right w:type="dxa" w:w="100"/>
            </w:tcMar>
          </w:tcPr>
          <w:p>
            <w:r>
              <w:rPr>
                <w:b/>
                <w:bCs/>
              </w:rPr>
              <w:t xml:space="preserve">Broker</w:t>
            </w:r>
          </w:p>
        </w:tc>
        <w:tc>
          <w:tcPr>
            <w:tcW w:type="dxa" w:w="2600"/>
            <w:shd w:fill="D9D9D9" w:val="clear"/>
            <w:tcMar>
              <w:top w:type="dxa" w:w="80"/>
              <w:left w:type="dxa" w:w="100"/>
              <w:bottom w:type="dxa" w:w="80"/>
              <w:right w:type="dxa" w:w="100"/>
            </w:tcMar>
          </w:tcPr>
          <w:p>
            <w:r>
              <w:rPr>
                <w:b/>
                <w:bCs/>
              </w:rPr>
              <w:t xml:space="preserve">Type</w:t>
            </w:r>
          </w:p>
        </w:tc>
        <w:tc>
          <w:tcPr>
            <w:tcW w:type="dxa" w:w="2200"/>
            <w:shd w:fill="D9D9D9" w:val="clear"/>
            <w:tcMar>
              <w:top w:type="dxa" w:w="80"/>
              <w:left w:type="dxa" w:w="100"/>
              <w:bottom w:type="dxa" w:w="80"/>
              <w:right w:type="dxa" w:w="100"/>
            </w:tcMar>
          </w:tcPr>
          <w:p>
            <w:r>
              <w:rPr>
                <w:b/>
                <w:bCs/>
              </w:rPr>
              <w:t xml:space="preserve">Locatie</w:t>
            </w:r>
          </w:p>
        </w:tc>
        <w:tc>
          <w:tcPr>
            <w:tcW w:type="dxa" w:w="2426"/>
            <w:shd w:fill="D9D9D9" w:val="clear"/>
            <w:tcMar>
              <w:top w:type="dxa" w:w="80"/>
              <w:left w:type="dxa" w:w="100"/>
              <w:bottom w:type="dxa" w:w="80"/>
              <w:right w:type="dxa" w:w="100"/>
            </w:tcMar>
          </w:tcPr>
          <w:p>
            <w:r>
              <w:rPr>
                <w:b/>
                <w:bCs/>
              </w:rPr>
              <w:t xml:space="preserve">Rol</w:t>
            </w:r>
          </w:p>
        </w:tc>
      </w:tr>
      <w:tr>
        <w:tc>
          <w:tcPr>
            <w:tcW w:type="dxa" w:w="1800"/>
            <w:tcMar>
              <w:top w:type="dxa" w:w="80"/>
              <w:left w:type="dxa" w:w="100"/>
              <w:bottom w:type="dxa" w:w="80"/>
              <w:right w:type="dxa" w:w="100"/>
            </w:tcMar>
          </w:tcPr>
          <w:p>
            <w:r>
              <w:rPr>
                <w:b w:val="false"/>
                <w:bCs w:val="false"/>
              </w:rPr>
              <w:t xml:space="preserve">Lokaal</w:t>
            </w:r>
          </w:p>
        </w:tc>
        <w:tc>
          <w:tcPr>
            <w:tcW w:type="dxa" w:w="2600"/>
            <w:tcMar>
              <w:top w:type="dxa" w:w="80"/>
              <w:left w:type="dxa" w:w="100"/>
              <w:bottom w:type="dxa" w:w="80"/>
              <w:right w:type="dxa" w:w="100"/>
            </w:tcMar>
          </w:tcPr>
          <w:p>
            <w:r>
              <w:rPr>
                <w:b w:val="false"/>
                <w:bCs w:val="false"/>
              </w:rPr>
              <w:t xml:space="preserve">Self-managed software, single-AZ, Docker (draait: enewable-local-broker)</w:t>
            </w:r>
          </w:p>
        </w:tc>
        <w:tc>
          <w:tcPr>
            <w:tcW w:type="dxa" w:w="2200"/>
            <w:tcMar>
              <w:top w:type="dxa" w:w="80"/>
              <w:left w:type="dxa" w:w="100"/>
              <w:bottom w:type="dxa" w:w="80"/>
              <w:right w:type="dxa" w:w="100"/>
            </w:tcMar>
          </w:tcPr>
          <w:p>
            <w:r>
              <w:rPr>
                <w:b w:val="false"/>
                <w:bCs w:val="false"/>
              </w:rPr>
              <w:t xml:space="preserve">Laptop (macOS)</w:t>
            </w:r>
          </w:p>
        </w:tc>
        <w:tc>
          <w:tcPr>
            <w:tcW w:type="dxa" w:w="2426"/>
            <w:tcMar>
              <w:top w:type="dxa" w:w="80"/>
              <w:left w:type="dxa" w:w="100"/>
              <w:bottom w:type="dxa" w:w="80"/>
              <w:right w:type="dxa" w:w="100"/>
            </w:tcMar>
          </w:tcPr>
          <w:p>
            <w:r>
              <w:rPr>
                <w:b w:val="false"/>
                <w:bCs w:val="false"/>
              </w:rPr>
              <w:t xml:space="preserve">Bron van alle demo-data, exporteert via 3 REST Delivery Points</w:t>
            </w:r>
          </w:p>
        </w:tc>
      </w:tr>
      <w:tr>
        <w:tc>
          <w:tcPr>
            <w:tcW w:type="dxa" w:w="1800"/>
            <w:shd w:fill="E8F5E9" w:val="clear"/>
            <w:tcMar>
              <w:top w:type="dxa" w:w="80"/>
              <w:left w:type="dxa" w:w="100"/>
              <w:bottom w:type="dxa" w:w="80"/>
              <w:right w:type="dxa" w:w="100"/>
            </w:tcMar>
          </w:tcPr>
          <w:p>
            <w:r>
              <w:rPr>
                <w:b w:val="false"/>
                <w:bCs w:val="false"/>
              </w:rPr>
              <w:t xml:space="preserve">AWS US East</w:t>
            </w:r>
          </w:p>
        </w:tc>
        <w:tc>
          <w:tcPr>
            <w:tcW w:type="dxa" w:w="2600"/>
            <w:shd w:fill="E8F5E9" w:val="clear"/>
            <w:tcMar>
              <w:top w:type="dxa" w:w="80"/>
              <w:left w:type="dxa" w:w="100"/>
              <w:bottom w:type="dxa" w:w="80"/>
              <w:right w:type="dxa" w:w="100"/>
            </w:tcMar>
          </w:tcPr>
          <w:p>
            <w:r>
              <w:rPr>
                <w:b w:val="false"/>
                <w:bCs w:val="false"/>
              </w:rPr>
              <w:t xml:space="preserve">Solace Cloud, HA</w:t>
            </w:r>
          </w:p>
        </w:tc>
        <w:tc>
          <w:tcPr>
            <w:tcW w:type="dxa" w:w="2200"/>
            <w:shd w:fill="E8F5E9" w:val="clear"/>
            <w:tcMar>
              <w:top w:type="dxa" w:w="80"/>
              <w:left w:type="dxa" w:w="100"/>
              <w:bottom w:type="dxa" w:w="80"/>
              <w:right w:type="dxa" w:w="100"/>
            </w:tcMar>
          </w:tcPr>
          <w:p>
            <w:r>
              <w:rPr>
                <w:b w:val="false"/>
                <w:bCs w:val="false"/>
              </w:rPr>
              <w:t xml:space="preserve">AWS, US East</w:t>
            </w:r>
          </w:p>
        </w:tc>
        <w:tc>
          <w:tcPr>
            <w:tcW w:type="dxa" w:w="2426"/>
            <w:shd w:fill="E8F5E9" w:val="clear"/>
            <w:tcMar>
              <w:top w:type="dxa" w:w="80"/>
              <w:left w:type="dxa" w:w="100"/>
              <w:bottom w:type="dxa" w:w="80"/>
              <w:right w:type="dxa" w:w="100"/>
            </w:tcMar>
          </w:tcPr>
          <w:p>
            <w:r>
              <w:rPr>
                <w:b w:val="false"/>
                <w:bCs w:val="false"/>
              </w:rPr>
              <w:t xml:space="preserve">Ontvangt publieke data</w:t>
            </w:r>
          </w:p>
        </w:tc>
      </w:tr>
      <w:tr>
        <w:tc>
          <w:tcPr>
            <w:tcW w:type="dxa" w:w="1800"/>
            <w:shd w:fill="E3F2FD" w:val="clear"/>
            <w:tcMar>
              <w:top w:type="dxa" w:w="80"/>
              <w:left w:type="dxa" w:w="100"/>
              <w:bottom w:type="dxa" w:w="80"/>
              <w:right w:type="dxa" w:w="100"/>
            </w:tcMar>
          </w:tcPr>
          <w:p>
            <w:r>
              <w:rPr>
                <w:b w:val="false"/>
                <w:bCs w:val="false"/>
              </w:rPr>
              <w:t xml:space="preserve">Azure West Europe</w:t>
            </w:r>
          </w:p>
        </w:tc>
        <w:tc>
          <w:tcPr>
            <w:tcW w:type="dxa" w:w="2600"/>
            <w:shd w:fill="E3F2FD" w:val="clear"/>
            <w:tcMar>
              <w:top w:type="dxa" w:w="80"/>
              <w:left w:type="dxa" w:w="100"/>
              <w:bottom w:type="dxa" w:w="80"/>
              <w:right w:type="dxa" w:w="100"/>
            </w:tcMar>
          </w:tcPr>
          <w:p>
            <w:r>
              <w:rPr>
                <w:b w:val="false"/>
                <w:bCs w:val="false"/>
              </w:rPr>
              <w:t xml:space="preserve">Solace Cloud, HA</w:t>
            </w:r>
          </w:p>
        </w:tc>
        <w:tc>
          <w:tcPr>
            <w:tcW w:type="dxa" w:w="2200"/>
            <w:shd w:fill="E3F2FD" w:val="clear"/>
            <w:tcMar>
              <w:top w:type="dxa" w:w="80"/>
              <w:left w:type="dxa" w:w="100"/>
              <w:bottom w:type="dxa" w:w="80"/>
              <w:right w:type="dxa" w:w="100"/>
            </w:tcMar>
          </w:tcPr>
          <w:p>
            <w:r>
              <w:rPr>
                <w:b w:val="false"/>
                <w:bCs w:val="false"/>
              </w:rPr>
              <w:t xml:space="preserve">Azure, West Europe (NL)</w:t>
            </w:r>
          </w:p>
        </w:tc>
        <w:tc>
          <w:tcPr>
            <w:tcW w:type="dxa" w:w="2426"/>
            <w:shd w:fill="E3F2FD" w:val="clear"/>
            <w:tcMar>
              <w:top w:type="dxa" w:w="80"/>
              <w:left w:type="dxa" w:w="100"/>
              <w:bottom w:type="dxa" w:w="80"/>
              <w:right w:type="dxa" w:w="100"/>
            </w:tcMar>
          </w:tcPr>
          <w:p>
            <w:r>
              <w:rPr>
                <w:b w:val="false"/>
                <w:bCs w:val="false"/>
              </w:rPr>
              <w:t xml:space="preserve">Ontvangt niet-persoonlijke EU-data</w:t>
            </w:r>
          </w:p>
        </w:tc>
      </w:tr>
      <w:tr>
        <w:tc>
          <w:tcPr>
            <w:tcW w:type="dxa" w:w="1800"/>
            <w:shd w:fill="FFEBEE" w:val="clear"/>
            <w:tcMar>
              <w:top w:type="dxa" w:w="80"/>
              <w:left w:type="dxa" w:w="100"/>
              <w:bottom w:type="dxa" w:w="80"/>
              <w:right w:type="dxa" w:w="100"/>
            </w:tcMar>
          </w:tcPr>
          <w:p>
            <w:r>
              <w:rPr>
                <w:b w:val="false"/>
                <w:bCs w:val="false"/>
              </w:rPr>
              <w:t xml:space="preserve">STACKIT eu01</w:t>
            </w:r>
          </w:p>
        </w:tc>
        <w:tc>
          <w:tcPr>
            <w:tcW w:type="dxa" w:w="2600"/>
            <w:shd w:fill="FFEBEE" w:val="clear"/>
            <w:tcMar>
              <w:top w:type="dxa" w:w="80"/>
              <w:left w:type="dxa" w:w="100"/>
              <w:bottom w:type="dxa" w:w="80"/>
              <w:right w:type="dxa" w:w="100"/>
            </w:tcMar>
          </w:tcPr>
          <w:p>
            <w:r>
              <w:rPr>
                <w:b w:val="false"/>
                <w:bCs w:val="false"/>
              </w:rPr>
              <w:t xml:space="preserve">Sovereign HA (GA verwacht; interim gereed: GCP europe-west1)</w:t>
            </w:r>
          </w:p>
        </w:tc>
        <w:tc>
          <w:tcPr>
            <w:tcW w:type="dxa" w:w="2200"/>
            <w:shd w:fill="FFEBEE" w:val="clear"/>
            <w:tcMar>
              <w:top w:type="dxa" w:w="80"/>
              <w:left w:type="dxa" w:w="100"/>
              <w:bottom w:type="dxa" w:w="80"/>
              <w:right w:type="dxa" w:w="100"/>
            </w:tcMar>
          </w:tcPr>
          <w:p>
            <w:r>
              <w:rPr>
                <w:b w:val="false"/>
                <w:bCs w:val="false"/>
              </w:rPr>
              <w:t xml:space="preserve">STACKIT, Duitsland</w:t>
            </w:r>
          </w:p>
        </w:tc>
        <w:tc>
          <w:tcPr>
            <w:tcW w:type="dxa" w:w="2426"/>
            <w:shd w:fill="FFEBEE" w:val="clear"/>
            <w:tcMar>
              <w:top w:type="dxa" w:w="80"/>
              <w:left w:type="dxa" w:w="100"/>
              <w:bottom w:type="dxa" w:w="80"/>
              <w:right w:type="dxa" w:w="100"/>
            </w:tcMar>
          </w:tcPr>
          <w:p>
            <w:r>
              <w:rPr>
                <w:b w:val="false"/>
                <w:bCs w:val="false"/>
              </w:rPr>
              <w:t xml:space="preserve">Ontvangt gevoelige PII</w:t>
            </w:r>
          </w:p>
        </w:tc>
      </w:tr>
    </w:tbl>
    <w:p>
      <w:pPr>
        <w:spacing w:after="1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800"/>
        <w:gridCol w:w="2200"/>
        <w:gridCol w:w="2500"/>
        <w:gridCol w:w="1526"/>
      </w:tblGrid>
      <w:tr>
        <w:trPr>
          <w:tblHeader/>
        </w:trPr>
        <w:tc>
          <w:tcPr>
            <w:tcW w:type="dxa" w:w="2800"/>
            <w:shd w:fill="D9D9D9" w:val="clear"/>
            <w:tcMar>
              <w:top w:type="dxa" w:w="80"/>
              <w:left w:type="dxa" w:w="100"/>
              <w:bottom w:type="dxa" w:w="80"/>
              <w:right w:type="dxa" w:w="100"/>
            </w:tcMar>
          </w:tcPr>
          <w:p>
            <w:r>
              <w:rPr>
                <w:b/>
                <w:bCs/>
              </w:rPr>
              <w:t xml:space="preserve">Topic-subtree</w:t>
            </w:r>
          </w:p>
        </w:tc>
        <w:tc>
          <w:tcPr>
            <w:tcW w:type="dxa" w:w="2200"/>
            <w:shd w:fill="D9D9D9" w:val="clear"/>
            <w:tcMar>
              <w:top w:type="dxa" w:w="80"/>
              <w:left w:type="dxa" w:w="100"/>
              <w:bottom w:type="dxa" w:w="80"/>
              <w:right w:type="dxa" w:w="100"/>
            </w:tcMar>
          </w:tcPr>
          <w:p>
            <w:r>
              <w:rPr>
                <w:b/>
                <w:bCs/>
              </w:rPr>
              <w:t xml:space="preserve">Dataklasse</w:t>
            </w:r>
          </w:p>
        </w:tc>
        <w:tc>
          <w:tcPr>
            <w:tcW w:type="dxa" w:w="2500"/>
            <w:shd w:fill="D9D9D9" w:val="clear"/>
            <w:tcMar>
              <w:top w:type="dxa" w:w="80"/>
              <w:left w:type="dxa" w:w="100"/>
              <w:bottom w:type="dxa" w:w="80"/>
              <w:right w:type="dxa" w:w="100"/>
            </w:tcMar>
          </w:tcPr>
          <w:p>
            <w:r>
              <w:rPr>
                <w:b/>
                <w:bCs/>
              </w:rPr>
              <w:t xml:space="preserve">Voorbeeld</w:t>
            </w:r>
          </w:p>
        </w:tc>
        <w:tc>
          <w:tcPr>
            <w:tcW w:type="dxa" w:w="1526"/>
            <w:shd w:fill="D9D9D9" w:val="clear"/>
            <w:tcMar>
              <w:top w:type="dxa" w:w="80"/>
              <w:left w:type="dxa" w:w="100"/>
              <w:bottom w:type="dxa" w:w="80"/>
              <w:right w:type="dxa" w:w="100"/>
            </w:tcMar>
          </w:tcPr>
          <w:p>
            <w:r>
              <w:rPr>
                <w:b/>
                <w:bCs/>
              </w:rPr>
              <w:t xml:space="preserve">RDP naar</w:t>
            </w:r>
          </w:p>
        </w:tc>
      </w:tr>
      <w:tr>
        <w:tc>
          <w:tcPr>
            <w:tcW w:type="dxa" w:w="2800"/>
            <w:shd w:fill="E8F5E9" w:val="clear"/>
            <w:tcMar>
              <w:top w:type="dxa" w:w="80"/>
              <w:left w:type="dxa" w:w="100"/>
              <w:bottom w:type="dxa" w:w="80"/>
              <w:right w:type="dxa" w:w="100"/>
            </w:tcMar>
          </w:tcPr>
          <w:p>
            <w:r>
              <w:rPr>
                <w:b w:val="false"/>
                <w:bCs w:val="false"/>
              </w:rPr>
              <w:t xml:space="preserve">enewable/public/&gt;</w:t>
            </w:r>
          </w:p>
        </w:tc>
        <w:tc>
          <w:tcPr>
            <w:tcW w:type="dxa" w:w="2200"/>
            <w:shd w:fill="E8F5E9" w:val="clear"/>
            <w:tcMar>
              <w:top w:type="dxa" w:w="80"/>
              <w:left w:type="dxa" w:w="100"/>
              <w:bottom w:type="dxa" w:w="80"/>
              <w:right w:type="dxa" w:w="100"/>
            </w:tcMar>
          </w:tcPr>
          <w:p>
            <w:r>
              <w:rPr>
                <w:b w:val="false"/>
                <w:bCs w:val="false"/>
              </w:rPr>
              <w:t xml:space="preserve">Publiek</w:t>
            </w:r>
          </w:p>
        </w:tc>
        <w:tc>
          <w:tcPr>
            <w:tcW w:type="dxa" w:w="2500"/>
            <w:shd w:fill="E8F5E9" w:val="clear"/>
            <w:tcMar>
              <w:top w:type="dxa" w:w="80"/>
              <w:left w:type="dxa" w:w="100"/>
              <w:bottom w:type="dxa" w:w="80"/>
              <w:right w:type="dxa" w:w="100"/>
            </w:tcMar>
          </w:tcPr>
          <w:p>
            <w:r>
              <w:rPr>
                <w:b w:val="false"/>
                <w:bCs w:val="false"/>
              </w:rPr>
              <w:t xml:space="preserve">Day-ahead energieprijs, weerdata</w:t>
            </w:r>
          </w:p>
        </w:tc>
        <w:tc>
          <w:tcPr>
            <w:tcW w:type="dxa" w:w="1526"/>
            <w:shd w:fill="E8F5E9" w:val="clear"/>
            <w:tcMar>
              <w:top w:type="dxa" w:w="80"/>
              <w:left w:type="dxa" w:w="100"/>
              <w:bottom w:type="dxa" w:w="80"/>
              <w:right w:type="dxa" w:w="100"/>
            </w:tcMar>
          </w:tcPr>
          <w:p>
            <w:r>
              <w:rPr>
                <w:b w:val="false"/>
                <w:bCs w:val="false"/>
              </w:rPr>
              <w:t xml:space="preserve">AWS</w:t>
            </w:r>
          </w:p>
        </w:tc>
      </w:tr>
      <w:tr>
        <w:tc>
          <w:tcPr>
            <w:tcW w:type="dxa" w:w="2800"/>
            <w:shd w:fill="E3F2FD" w:val="clear"/>
            <w:tcMar>
              <w:top w:type="dxa" w:w="80"/>
              <w:left w:type="dxa" w:w="100"/>
              <w:bottom w:type="dxa" w:w="80"/>
              <w:right w:type="dxa" w:w="100"/>
            </w:tcMar>
          </w:tcPr>
          <w:p>
            <w:r>
              <w:rPr>
                <w:b w:val="false"/>
                <w:bCs w:val="false"/>
              </w:rPr>
              <w:t xml:space="preserve">enewable/eu/ops/&gt;</w:t>
            </w:r>
          </w:p>
        </w:tc>
        <w:tc>
          <w:tcPr>
            <w:tcW w:type="dxa" w:w="2200"/>
            <w:shd w:fill="E3F2FD" w:val="clear"/>
            <w:tcMar>
              <w:top w:type="dxa" w:w="80"/>
              <w:left w:type="dxa" w:w="100"/>
              <w:bottom w:type="dxa" w:w="80"/>
              <w:right w:type="dxa" w:w="100"/>
            </w:tcMar>
          </w:tcPr>
          <w:p>
            <w:r>
              <w:rPr>
                <w:b w:val="false"/>
                <w:bCs w:val="false"/>
              </w:rPr>
              <w:t xml:space="preserve">Niet-persoonlijk, EU</w:t>
            </w:r>
          </w:p>
        </w:tc>
        <w:tc>
          <w:tcPr>
            <w:tcW w:type="dxa" w:w="2500"/>
            <w:shd w:fill="E3F2FD" w:val="clear"/>
            <w:tcMar>
              <w:top w:type="dxa" w:w="80"/>
              <w:left w:type="dxa" w:w="100"/>
              <w:bottom w:type="dxa" w:w="80"/>
              <w:right w:type="dxa" w:w="100"/>
            </w:tcMar>
          </w:tcPr>
          <w:p>
            <w:r>
              <w:rPr>
                <w:b w:val="false"/>
                <w:bCs w:val="false"/>
              </w:rPr>
              <w:t xml:space="preserve">Geaggregeerde netbelasting</w:t>
            </w:r>
          </w:p>
        </w:tc>
        <w:tc>
          <w:tcPr>
            <w:tcW w:type="dxa" w:w="1526"/>
            <w:shd w:fill="E3F2FD" w:val="clear"/>
            <w:tcMar>
              <w:top w:type="dxa" w:w="80"/>
              <w:left w:type="dxa" w:w="100"/>
              <w:bottom w:type="dxa" w:w="80"/>
              <w:right w:type="dxa" w:w="100"/>
            </w:tcMar>
          </w:tcPr>
          <w:p>
            <w:r>
              <w:rPr>
                <w:b w:val="false"/>
                <w:bCs w:val="false"/>
              </w:rPr>
              <w:t xml:space="preserve">Azure</w:t>
            </w:r>
          </w:p>
        </w:tc>
      </w:tr>
      <w:tr>
        <w:tc>
          <w:tcPr>
            <w:tcW w:type="dxa" w:w="2800"/>
            <w:shd w:fill="FFEBEE" w:val="clear"/>
            <w:tcMar>
              <w:top w:type="dxa" w:w="80"/>
              <w:left w:type="dxa" w:w="100"/>
              <w:bottom w:type="dxa" w:w="80"/>
              <w:right w:type="dxa" w:w="100"/>
            </w:tcMar>
          </w:tcPr>
          <w:p>
            <w:r>
              <w:rPr>
                <w:b w:val="false"/>
                <w:bCs w:val="false"/>
              </w:rPr>
              <w:t xml:space="preserve">enewable/eu/pii/&gt;</w:t>
            </w:r>
          </w:p>
        </w:tc>
        <w:tc>
          <w:tcPr>
            <w:tcW w:type="dxa" w:w="2200"/>
            <w:shd w:fill="FFEBEE" w:val="clear"/>
            <w:tcMar>
              <w:top w:type="dxa" w:w="80"/>
              <w:left w:type="dxa" w:w="100"/>
              <w:bottom w:type="dxa" w:w="80"/>
              <w:right w:type="dxa" w:w="100"/>
            </w:tcMar>
          </w:tcPr>
          <w:p>
            <w:r>
              <w:rPr>
                <w:b w:val="false"/>
                <w:bCs w:val="false"/>
              </w:rPr>
              <w:t xml:space="preserve">Gevoelige PII</w:t>
            </w:r>
          </w:p>
        </w:tc>
        <w:tc>
          <w:tcPr>
            <w:tcW w:type="dxa" w:w="2500"/>
            <w:shd w:fill="FFEBEE" w:val="clear"/>
            <w:tcMar>
              <w:top w:type="dxa" w:w="80"/>
              <w:left w:type="dxa" w:w="100"/>
              <w:bottom w:type="dxa" w:w="80"/>
              <w:right w:type="dxa" w:w="100"/>
            </w:tcMar>
          </w:tcPr>
          <w:p>
            <w:r>
              <w:rPr>
                <w:b w:val="false"/>
                <w:bCs w:val="false"/>
              </w:rPr>
              <w:t xml:space="preserve">Meterstand + klant-ID</w:t>
            </w:r>
          </w:p>
        </w:tc>
        <w:tc>
          <w:tcPr>
            <w:tcW w:type="dxa" w:w="1526"/>
            <w:shd w:fill="FFEBEE" w:val="clear"/>
            <w:tcMar>
              <w:top w:type="dxa" w:w="80"/>
              <w:left w:type="dxa" w:w="100"/>
              <w:bottom w:type="dxa" w:w="80"/>
              <w:right w:type="dxa" w:w="100"/>
            </w:tcMar>
          </w:tcPr>
          <w:p>
            <w:r>
              <w:rPr>
                <w:b w:val="false"/>
                <w:bCs w:val="false"/>
              </w:rPr>
              <w:t xml:space="preserve">STACKIT</w:t>
            </w:r>
          </w:p>
        </w:tc>
      </w:tr>
    </w:tbl>
    <w:p>
      <w:pPr>
        <w:pStyle w:val="Heading1"/>
        <w:spacing w:after="140" w:before="280"/>
      </w:pPr>
      <w:r>
        <w:t xml:space="preserve">4. Architectuurkeuzes en belangrijkste aanname</w:t>
      </w:r>
    </w:p>
    <w:p>
      <w:pPr>
        <w:pStyle w:val="ListParagraph"/>
        <w:numPr>
          <w:ilvl w:val="0"/>
          <w:numId w:val="2"/>
        </w:numPr>
        <w:spacing w:after="80"/>
      </w:pPr>
      <w:r>
        <w:t xml:space="preserve">Queues + REST Delivery Points met topic-scoped subscriptions in plaats van DMR/#noexport -- functioneel voldoende voor deze demo, architecturaal een ander mechanisme (zie sectie 7). Message VPN Bridges waren de eerst geprobeerde route, maar bleken alleen te kunnen importeren van een remote broker, niet exporteren, zonder een publiek bereikbare lokale broker.</w:t>
      </w:r>
    </w:p>
    <w:p>
      <w:pPr>
        <w:pStyle w:val="ListParagraph"/>
        <w:numPr>
          <w:ilvl w:val="0"/>
          <w:numId w:val="2"/>
        </w:numPr>
        <w:spacing w:after="80"/>
      </w:pPr>
      <w:r>
        <w:t xml:space="preserve">Eigen client-username per dataklasse met een ACL-profiel dat publiceren tot één topic-subtree beperkt (“governed sharing” aan de bron); voor de REST Delivery Points naar de cloud-brokers geldt hetzelfde -- dezelfde, dedicated username per service (hergebruikt van de bridge-opzet), niet de standaard solace-cloud-client (die de “Try Me!”-tab gebruikt).</w:t>
      </w:r>
    </w:p>
    <w:p>
      <w:pPr>
        <w:pStyle w:val="ListParagraph"/>
        <w:numPr>
          <w:ilvl w:val="0"/>
          <w:numId w:val="2"/>
        </w:numPr>
        <w:spacing w:after="80"/>
      </w:pPr>
      <w:r>
        <w:t xml:space="preserve">Single-availability lokale broker; de 3 cloud-brokers zijn wel HA.</w:t>
      </w:r>
    </w:p>
    <w:p>
      <w:pPr>
        <w:pStyle w:val="ListParagraph"/>
        <w:numPr>
          <w:ilvl w:val="0"/>
          <w:numId w:val="2"/>
        </w:numPr>
        <w:spacing w:after="80"/>
      </w:pPr>
      <w:r>
        <w:t xml:space="preserve">Alle cloud-broker services staan in public clusters (gemak van de demo); in een real-life inrichting zouden dit private clusters zijn met VPC peering, PrivateLink of vergelijkbaar.</w:t>
      </w:r>
    </w:p>
    <w:p>
      <w:pPr>
        <w:pStyle w:val="ListParagraph"/>
        <w:numPr>
          <w:ilvl w:val="0"/>
          <w:numId w:val="2"/>
        </w:numPr>
        <w:spacing w:after="80"/>
      </w:pPr>
      <w:r>
        <w:t xml:space="preserve">STACKIT: uitgangspunt is dat STACKIT komende week algemeen beschikbaar (GA) is in Solace Cloud, met dezelfde self-service deployment als AWS/Azure/GCP. Tot het zover is, mimicken we het sovereign-knooppunt met een Solace Cloud HA-broker op GCP europe-west1 (België) -- zelfde topics, ACL's en bridge-naam, alleen het fysieke eindpunt wisselt bij de overstap.</w:t>
      </w:r>
    </w:p>
    <w:p>
      <w:pPr>
        <w:pStyle w:val="Heading1"/>
        <w:spacing w:after="140" w:before="280"/>
      </w:pPr>
      <w:r>
        <w:t xml:space="preserve">5. Fasering</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700"/>
        <w:gridCol w:w="2600"/>
        <w:gridCol w:w="3400"/>
        <w:gridCol w:w="2326"/>
      </w:tblGrid>
      <w:tr>
        <w:trPr>
          <w:tblHeader/>
        </w:trPr>
        <w:tc>
          <w:tcPr>
            <w:tcW w:type="dxa" w:w="700"/>
            <w:shd w:fill="D9D9D9" w:val="clear"/>
            <w:tcMar>
              <w:top w:type="dxa" w:w="80"/>
              <w:left w:type="dxa" w:w="100"/>
              <w:bottom w:type="dxa" w:w="80"/>
              <w:right w:type="dxa" w:w="100"/>
            </w:tcMar>
          </w:tcPr>
          <w:p>
            <w:r>
              <w:rPr>
                <w:b/>
                <w:bCs/>
              </w:rPr>
              <w:t xml:space="preserve">Fase</w:t>
            </w:r>
          </w:p>
        </w:tc>
        <w:tc>
          <w:tcPr>
            <w:tcW w:type="dxa" w:w="2600"/>
            <w:shd w:fill="D9D9D9" w:val="clear"/>
            <w:tcMar>
              <w:top w:type="dxa" w:w="80"/>
              <w:left w:type="dxa" w:w="100"/>
              <w:bottom w:type="dxa" w:w="80"/>
              <w:right w:type="dxa" w:w="100"/>
            </w:tcMar>
          </w:tcPr>
          <w:p>
            <w:r>
              <w:rPr>
                <w:b/>
                <w:bCs/>
              </w:rPr>
              <w:t xml:space="preserve">Wat</w:t>
            </w:r>
          </w:p>
        </w:tc>
        <w:tc>
          <w:tcPr>
            <w:tcW w:type="dxa" w:w="3400"/>
            <w:shd w:fill="D9D9D9" w:val="clear"/>
            <w:tcMar>
              <w:top w:type="dxa" w:w="80"/>
              <w:left w:type="dxa" w:w="100"/>
              <w:bottom w:type="dxa" w:w="80"/>
              <w:right w:type="dxa" w:w="100"/>
            </w:tcMar>
          </w:tcPr>
          <w:p>
            <w:r>
              <w:rPr>
                <w:b/>
                <w:bCs/>
              </w:rPr>
              <w:t xml:space="preserve">Actie</w:t>
            </w:r>
          </w:p>
        </w:tc>
        <w:tc>
          <w:tcPr>
            <w:tcW w:type="dxa" w:w="2326"/>
            <w:shd w:fill="D9D9D9" w:val="clear"/>
            <w:tcMar>
              <w:top w:type="dxa" w:w="80"/>
              <w:left w:type="dxa" w:w="100"/>
              <w:bottom w:type="dxa" w:w="80"/>
              <w:right w:type="dxa" w:w="100"/>
            </w:tcMar>
          </w:tcPr>
          <w:p>
            <w:r>
              <w:rPr>
                <w:b/>
                <w:bCs/>
              </w:rPr>
              <w:t xml:space="preserve">Wanneer</w:t>
            </w:r>
          </w:p>
        </w:tc>
      </w:tr>
      <w:tr>
        <w:tc>
          <w:tcPr>
            <w:tcW w:type="dxa" w:w="700"/>
            <w:tcMar>
              <w:top w:type="dxa" w:w="80"/>
              <w:left w:type="dxa" w:w="100"/>
              <w:bottom w:type="dxa" w:w="80"/>
              <w:right w:type="dxa" w:w="100"/>
            </w:tcMar>
          </w:tcPr>
          <w:p>
            <w:r>
              <w:rPr>
                <w:b w:val="false"/>
                <w:bCs w:val="false"/>
              </w:rPr>
              <w:t xml:space="preserve">0</w:t>
            </w:r>
          </w:p>
        </w:tc>
        <w:tc>
          <w:tcPr>
            <w:tcW w:type="dxa" w:w="2600"/>
            <w:tcMar>
              <w:top w:type="dxa" w:w="80"/>
              <w:left w:type="dxa" w:w="100"/>
              <w:bottom w:type="dxa" w:w="80"/>
              <w:right w:type="dxa" w:w="100"/>
            </w:tcMar>
          </w:tcPr>
          <w:p>
            <w:r>
              <w:rPr>
                <w:b w:val="false"/>
                <w:bCs w:val="false"/>
              </w:rPr>
              <w:t xml:space="preserve">Dit plan</w:t>
            </w:r>
          </w:p>
        </w:tc>
        <w:tc>
          <w:tcPr>
            <w:tcW w:type="dxa" w:w="3400"/>
            <w:tcMar>
              <w:top w:type="dxa" w:w="80"/>
              <w:left w:type="dxa" w:w="100"/>
              <w:bottom w:type="dxa" w:w="80"/>
              <w:right w:type="dxa" w:w="100"/>
            </w:tcMar>
          </w:tcPr>
          <w:p>
            <w:r>
              <w:rPr>
                <w:b w:val="false"/>
                <w:bCs w:val="false"/>
              </w:rPr>
              <w:t xml:space="preserve">Reviewen, akkoord geven of bijsturen</w:t>
            </w:r>
          </w:p>
        </w:tc>
        <w:tc>
          <w:tcPr>
            <w:tcW w:type="dxa" w:w="2326"/>
            <w:tcMar>
              <w:top w:type="dxa" w:w="80"/>
              <w:left w:type="dxa" w:w="100"/>
              <w:bottom w:type="dxa" w:w="80"/>
              <w:right w:type="dxa" w:w="100"/>
            </w:tcMar>
          </w:tcPr>
          <w:p>
            <w:r>
              <w:rPr>
                <w:b w:val="false"/>
                <w:bCs w:val="false"/>
              </w:rPr>
              <w:t xml:space="preserve">Nu</w:t>
            </w:r>
          </w:p>
        </w:tc>
      </w:tr>
      <w:tr>
        <w:tc>
          <w:tcPr>
            <w:tcW w:type="dxa" w:w="700"/>
            <w:shd w:fill="FFF9C4" w:val="clear"/>
            <w:tcMar>
              <w:top w:type="dxa" w:w="80"/>
              <w:left w:type="dxa" w:w="100"/>
              <w:bottom w:type="dxa" w:w="80"/>
              <w:right w:type="dxa" w:w="100"/>
            </w:tcMar>
          </w:tcPr>
          <w:p>
            <w:r>
              <w:rPr>
                <w:b w:val="false"/>
                <w:bCs w:val="false"/>
              </w:rPr>
              <w:t xml:space="preserve">1</w:t>
            </w:r>
          </w:p>
        </w:tc>
        <w:tc>
          <w:tcPr>
            <w:tcW w:type="dxa" w:w="2600"/>
            <w:shd w:fill="FFF9C4" w:val="clear"/>
            <w:tcMar>
              <w:top w:type="dxa" w:w="80"/>
              <w:left w:type="dxa" w:w="100"/>
              <w:bottom w:type="dxa" w:w="80"/>
              <w:right w:type="dxa" w:w="100"/>
            </w:tcMar>
          </w:tcPr>
          <w:p>
            <w:r>
              <w:rPr>
                <w:b w:val="false"/>
                <w:bCs w:val="false"/>
              </w:rPr>
              <w:t xml:space="preserve">STACKIT-beschikbaarheid</w:t>
            </w:r>
          </w:p>
        </w:tc>
        <w:tc>
          <w:tcPr>
            <w:tcW w:type="dxa" w:w="3400"/>
            <w:shd w:fill="FFF9C4" w:val="clear"/>
            <w:tcMar>
              <w:top w:type="dxa" w:w="80"/>
              <w:left w:type="dxa" w:w="100"/>
              <w:bottom w:type="dxa" w:w="80"/>
              <w:right w:type="dxa" w:w="100"/>
            </w:tcMar>
          </w:tcPr>
          <w:p>
            <w:r>
              <w:rPr>
                <w:b w:val="false"/>
                <w:bCs w:val="false"/>
              </w:rPr>
              <w:t xml:space="preserve">✅ Interim-broker op GCP europe-west1 aangemaakt; vóór repetitie/DADD checken of STACKIT al GA is</w:t>
            </w:r>
          </w:p>
        </w:tc>
        <w:tc>
          <w:tcPr>
            <w:tcW w:type="dxa" w:w="2326"/>
            <w:shd w:fill="FFF9C4" w:val="clear"/>
            <w:tcMar>
              <w:top w:type="dxa" w:w="80"/>
              <w:left w:type="dxa" w:w="100"/>
              <w:bottom w:type="dxa" w:w="80"/>
              <w:right w:type="dxa" w:w="100"/>
            </w:tcMar>
          </w:tcPr>
          <w:p>
            <w:r>
              <w:rPr>
                <w:b w:val="false"/>
                <w:bCs w:val="false"/>
              </w:rPr>
              <w:t xml:space="preserve">Interim: gereed</w:t>
            </w:r>
          </w:p>
        </w:tc>
      </w:tr>
      <w:tr>
        <w:tc>
          <w:tcPr>
            <w:tcW w:type="dxa" w:w="700"/>
            <w:tcMar>
              <w:top w:type="dxa" w:w="80"/>
              <w:left w:type="dxa" w:w="100"/>
              <w:bottom w:type="dxa" w:w="80"/>
              <w:right w:type="dxa" w:w="100"/>
            </w:tcMar>
          </w:tcPr>
          <w:p>
            <w:r>
              <w:rPr>
                <w:b w:val="false"/>
                <w:bCs w:val="false"/>
              </w:rPr>
              <w:t xml:space="preserve">2</w:t>
            </w:r>
          </w:p>
        </w:tc>
        <w:tc>
          <w:tcPr>
            <w:tcW w:type="dxa" w:w="2600"/>
            <w:tcMar>
              <w:top w:type="dxa" w:w="80"/>
              <w:left w:type="dxa" w:w="100"/>
              <w:bottom w:type="dxa" w:w="80"/>
              <w:right w:type="dxa" w:w="100"/>
            </w:tcMar>
          </w:tcPr>
          <w:p>
            <w:r>
              <w:rPr>
                <w:b w:val="false"/>
                <w:bCs w:val="false"/>
              </w:rPr>
              <w:t xml:space="preserve">Solace Cloud account</w:t>
            </w:r>
          </w:p>
        </w:tc>
        <w:tc>
          <w:tcPr>
            <w:tcW w:type="dxa" w:w="3400"/>
            <w:tcMar>
              <w:top w:type="dxa" w:w="80"/>
              <w:left w:type="dxa" w:w="100"/>
              <w:bottom w:type="dxa" w:w="80"/>
              <w:right w:type="dxa" w:w="100"/>
            </w:tcMar>
          </w:tcPr>
          <w:p>
            <w:r>
              <w:rPr>
                <w:b w:val="false"/>
                <w:bCs w:val="false"/>
              </w:rPr>
              <w:t xml:space="preserve">✅ Account + API-token aangemaakt</w:t>
            </w:r>
          </w:p>
        </w:tc>
        <w:tc>
          <w:tcPr>
            <w:tcW w:type="dxa" w:w="2326"/>
            <w:tcMar>
              <w:top w:type="dxa" w:w="80"/>
              <w:left w:type="dxa" w:w="100"/>
              <w:bottom w:type="dxa" w:w="80"/>
              <w:right w:type="dxa" w:w="100"/>
            </w:tcMar>
          </w:tcPr>
          <w:p>
            <w:r>
              <w:rPr>
                <w:b w:val="false"/>
                <w:bCs w:val="false"/>
              </w:rPr>
              <w:t xml:space="preserve">Gereed</w:t>
            </w:r>
          </w:p>
        </w:tc>
      </w:tr>
      <w:tr>
        <w:tc>
          <w:tcPr>
            <w:tcW w:type="dxa" w:w="700"/>
            <w:tcMar>
              <w:top w:type="dxa" w:w="80"/>
              <w:left w:type="dxa" w:w="100"/>
              <w:bottom w:type="dxa" w:w="80"/>
              <w:right w:type="dxa" w:w="100"/>
            </w:tcMar>
          </w:tcPr>
          <w:p>
            <w:r>
              <w:rPr>
                <w:b w:val="false"/>
                <w:bCs w:val="false"/>
              </w:rPr>
              <w:t xml:space="preserve">3</w:t>
            </w:r>
          </w:p>
        </w:tc>
        <w:tc>
          <w:tcPr>
            <w:tcW w:type="dxa" w:w="2600"/>
            <w:tcMar>
              <w:top w:type="dxa" w:w="80"/>
              <w:left w:type="dxa" w:w="100"/>
              <w:bottom w:type="dxa" w:w="80"/>
              <w:right w:type="dxa" w:w="100"/>
            </w:tcMar>
          </w:tcPr>
          <w:p>
            <w:r>
              <w:rPr>
                <w:b w:val="false"/>
                <w:bCs w:val="false"/>
              </w:rPr>
              <w:t xml:space="preserve">Cloud-brokers aanmaken</w:t>
            </w:r>
          </w:p>
        </w:tc>
        <w:tc>
          <w:tcPr>
            <w:tcW w:type="dxa" w:w="3400"/>
            <w:tcMar>
              <w:top w:type="dxa" w:w="80"/>
              <w:left w:type="dxa" w:w="100"/>
              <w:bottom w:type="dxa" w:w="80"/>
              <w:right w:type="dxa" w:w="100"/>
            </w:tcMar>
          </w:tcPr>
          <w:p>
            <w:r>
              <w:rPr>
                <w:b w:val="false"/>
                <w:bCs w:val="false"/>
              </w:rPr>
              <w:t xml:space="preserve">✅ Alle 3 gereed: AWS, Azure, STACKIT/GCP-interim</w:t>
            </w:r>
          </w:p>
        </w:tc>
        <w:tc>
          <w:tcPr>
            <w:tcW w:type="dxa" w:w="2326"/>
            <w:tcMar>
              <w:top w:type="dxa" w:w="80"/>
              <w:left w:type="dxa" w:w="100"/>
              <w:bottom w:type="dxa" w:w="80"/>
              <w:right w:type="dxa" w:w="100"/>
            </w:tcMar>
          </w:tcPr>
          <w:p>
            <w:r>
              <w:rPr>
                <w:b w:val="false"/>
                <w:bCs w:val="false"/>
              </w:rPr>
              <w:t xml:space="preserve">Gereed</w:t>
            </w:r>
          </w:p>
        </w:tc>
      </w:tr>
      <w:tr>
        <w:tc>
          <w:tcPr>
            <w:tcW w:type="dxa" w:w="700"/>
            <w:tcMar>
              <w:top w:type="dxa" w:w="80"/>
              <w:left w:type="dxa" w:w="100"/>
              <w:bottom w:type="dxa" w:w="80"/>
              <w:right w:type="dxa" w:w="100"/>
            </w:tcMar>
          </w:tcPr>
          <w:p>
            <w:r>
              <w:rPr>
                <w:b w:val="false"/>
                <w:bCs w:val="false"/>
              </w:rPr>
              <w:t xml:space="preserve">4</w:t>
            </w:r>
          </w:p>
        </w:tc>
        <w:tc>
          <w:tcPr>
            <w:tcW w:type="dxa" w:w="2600"/>
            <w:tcMar>
              <w:top w:type="dxa" w:w="80"/>
              <w:left w:type="dxa" w:w="100"/>
              <w:bottom w:type="dxa" w:w="80"/>
              <w:right w:type="dxa" w:w="100"/>
            </w:tcMar>
          </w:tcPr>
          <w:p>
            <w:r>
              <w:rPr>
                <w:b w:val="false"/>
                <w:bCs w:val="false"/>
              </w:rPr>
              <w:t xml:space="preserve">Lokale broker + RDP-export</w:t>
            </w:r>
          </w:p>
        </w:tc>
        <w:tc>
          <w:tcPr>
            <w:tcW w:type="dxa" w:w="3400"/>
            <w:tcMar>
              <w:top w:type="dxa" w:w="80"/>
              <w:left w:type="dxa" w:w="100"/>
              <w:bottom w:type="dxa" w:w="80"/>
              <w:right w:type="dxa" w:w="100"/>
            </w:tcMar>
          </w:tcPr>
          <w:p>
            <w:r>
              <w:rPr>
                <w:b w:val="false"/>
                <w:bCs w:val="false"/>
              </w:rPr>
              <w:t xml:space="preserve">✅✅ Volledig werkend, end-to-end bevestigd op AWS: alle 3 queue-bindings up:true met bindSuccessCount:1, RDP-aws leverde 21 berichten daadwerkelijk af, zichtbaar in AWS "Try Me!" op enewable/public/market/price. Azure/STACKIT staan klaar, nog ongetest</w:t>
            </w:r>
          </w:p>
        </w:tc>
        <w:tc>
          <w:tcPr>
            <w:tcW w:type="dxa" w:w="2326"/>
            <w:tcMar>
              <w:top w:type="dxa" w:w="80"/>
              <w:left w:type="dxa" w:w="100"/>
              <w:bottom w:type="dxa" w:w="80"/>
              <w:right w:type="dxa" w:w="100"/>
            </w:tcMar>
          </w:tcPr>
          <w:p>
            <w:r>
              <w:rPr>
                <w:b w:val="false"/>
                <w:bCs w:val="false"/>
              </w:rPr>
              <w:t xml:space="preserve">Fase 5: volledige testronde met alle 3 demo-apps (stm/python/sdkperf) op alle 3 topic-subtrees</w:t>
            </w:r>
          </w:p>
        </w:tc>
      </w:tr>
      <w:tr>
        <w:tc>
          <w:tcPr>
            <w:tcW w:type="dxa" w:w="700"/>
            <w:tcMar>
              <w:top w:type="dxa" w:w="80"/>
              <w:left w:type="dxa" w:w="100"/>
              <w:bottom w:type="dxa" w:w="80"/>
              <w:right w:type="dxa" w:w="100"/>
            </w:tcMar>
          </w:tcPr>
          <w:p>
            <w:r>
              <w:rPr>
                <w:b w:val="false"/>
                <w:bCs w:val="false"/>
              </w:rPr>
              <w:t xml:space="preserve">5</w:t>
            </w:r>
          </w:p>
        </w:tc>
        <w:tc>
          <w:tcPr>
            <w:tcW w:type="dxa" w:w="2600"/>
            <w:tcMar>
              <w:top w:type="dxa" w:w="80"/>
              <w:left w:type="dxa" w:w="100"/>
              <w:bottom w:type="dxa" w:w="80"/>
              <w:right w:type="dxa" w:w="100"/>
            </w:tcMar>
          </w:tcPr>
          <w:p>
            <w:r>
              <w:rPr>
                <w:b w:val="false"/>
                <w:bCs w:val="false"/>
              </w:rPr>
              <w:t xml:space="preserve">Demo-apps valideren</w:t>
            </w:r>
          </w:p>
        </w:tc>
        <w:tc>
          <w:tcPr>
            <w:tcW w:type="dxa" w:w="3400"/>
            <w:tcMar>
              <w:top w:type="dxa" w:w="80"/>
              <w:left w:type="dxa" w:w="100"/>
              <w:bottom w:type="dxa" w:w="80"/>
              <w:right w:type="dxa" w:w="100"/>
            </w:tcMar>
          </w:tcPr>
          <w:p>
            <w:r>
              <w:rPr>
                <w:b w:val="false"/>
                <w:bCs w:val="false"/>
              </w:rPr>
              <w:t xml:space="preserve">Alle 3 tools end-to-end testen</w:t>
            </w:r>
          </w:p>
        </w:tc>
        <w:tc>
          <w:tcPr>
            <w:tcW w:type="dxa" w:w="2326"/>
            <w:tcMar>
              <w:top w:type="dxa" w:w="80"/>
              <w:left w:type="dxa" w:w="100"/>
              <w:bottom w:type="dxa" w:w="80"/>
              <w:right w:type="dxa" w:w="100"/>
            </w:tcMar>
          </w:tcPr>
          <w:p>
            <w:r>
              <w:rPr>
                <w:b w:val="false"/>
                <w:bCs w:val="false"/>
              </w:rPr>
              <w:t xml:space="preserve">Meerdere keren vóór DADD</w:t>
            </w:r>
          </w:p>
        </w:tc>
      </w:tr>
      <w:tr>
        <w:tc>
          <w:tcPr>
            <w:tcW w:type="dxa" w:w="700"/>
            <w:tcMar>
              <w:top w:type="dxa" w:w="80"/>
              <w:left w:type="dxa" w:w="100"/>
              <w:bottom w:type="dxa" w:w="80"/>
              <w:right w:type="dxa" w:w="100"/>
            </w:tcMar>
          </w:tcPr>
          <w:p>
            <w:r>
              <w:rPr>
                <w:b w:val="false"/>
                <w:bCs w:val="false"/>
              </w:rPr>
              <w:t xml:space="preserve">6</w:t>
            </w:r>
          </w:p>
        </w:tc>
        <w:tc>
          <w:tcPr>
            <w:tcW w:type="dxa" w:w="2600"/>
            <w:tcMar>
              <w:top w:type="dxa" w:w="80"/>
              <w:left w:type="dxa" w:w="100"/>
              <w:bottom w:type="dxa" w:w="80"/>
              <w:right w:type="dxa" w:w="100"/>
            </w:tcMar>
          </w:tcPr>
          <w:p>
            <w:r>
              <w:rPr>
                <w:b w:val="false"/>
                <w:bCs w:val="false"/>
              </w:rPr>
              <w:t xml:space="preserve">Draaiboek + fallback</w:t>
            </w:r>
          </w:p>
        </w:tc>
        <w:tc>
          <w:tcPr>
            <w:tcW w:type="dxa" w:w="3400"/>
            <w:tcMar>
              <w:top w:type="dxa" w:w="80"/>
              <w:left w:type="dxa" w:w="100"/>
              <w:bottom w:type="dxa" w:w="80"/>
              <w:right w:type="dxa" w:w="100"/>
            </w:tcMar>
          </w:tcPr>
          <w:p>
            <w:r>
              <w:rPr>
                <w:b w:val="false"/>
                <w:bCs w:val="false"/>
              </w:rPr>
              <w:t xml:space="preserve">Live-timing oefenen, schermopname maken</w:t>
            </w:r>
          </w:p>
        </w:tc>
        <w:tc>
          <w:tcPr>
            <w:tcW w:type="dxa" w:w="2326"/>
            <w:tcMar>
              <w:top w:type="dxa" w:w="80"/>
              <w:left w:type="dxa" w:w="100"/>
              <w:bottom w:type="dxa" w:w="80"/>
              <w:right w:type="dxa" w:w="100"/>
            </w:tcMar>
          </w:tcPr>
          <w:p>
            <w:r>
              <w:rPr>
                <w:b w:val="false"/>
                <w:bCs w:val="false"/>
              </w:rPr>
              <w:t xml:space="preserve">Week vóór DADD</w:t>
            </w:r>
          </w:p>
        </w:tc>
      </w:tr>
      <w:tr>
        <w:tc>
          <w:tcPr>
            <w:tcW w:type="dxa" w:w="700"/>
            <w:tcMar>
              <w:top w:type="dxa" w:w="80"/>
              <w:left w:type="dxa" w:w="100"/>
              <w:bottom w:type="dxa" w:w="80"/>
              <w:right w:type="dxa" w:w="100"/>
            </w:tcMar>
          </w:tcPr>
          <w:p>
            <w:r>
              <w:rPr>
                <w:b w:val="false"/>
                <w:bCs w:val="false"/>
              </w:rPr>
              <w:t xml:space="preserve">7</w:t>
            </w:r>
          </w:p>
        </w:tc>
        <w:tc>
          <w:tcPr>
            <w:tcW w:type="dxa" w:w="2600"/>
            <w:tcMar>
              <w:top w:type="dxa" w:w="80"/>
              <w:left w:type="dxa" w:w="100"/>
              <w:bottom w:type="dxa" w:w="80"/>
              <w:right w:type="dxa" w:w="100"/>
            </w:tcMar>
          </w:tcPr>
          <w:p>
            <w:r>
              <w:rPr>
                <w:b w:val="false"/>
                <w:bCs w:val="false"/>
              </w:rPr>
              <w:t xml:space="preserve">Op de dag zelf</w:t>
            </w:r>
          </w:p>
        </w:tc>
        <w:tc>
          <w:tcPr>
            <w:tcW w:type="dxa" w:w="3400"/>
            <w:tcMar>
              <w:top w:type="dxa" w:w="80"/>
              <w:left w:type="dxa" w:w="100"/>
              <w:bottom w:type="dxa" w:w="80"/>
              <w:right w:type="dxa" w:w="100"/>
            </w:tcMar>
          </w:tcPr>
          <w:p>
            <w:r>
              <w:rPr>
                <w:b w:val="false"/>
                <w:bCs w:val="false"/>
              </w:rPr>
              <w:t xml:space="preserve">Broker + bridges + demo-apps klaarzetten</w:t>
            </w:r>
          </w:p>
        </w:tc>
        <w:tc>
          <w:tcPr>
            <w:tcW w:type="dxa" w:w="2326"/>
            <w:tcMar>
              <w:top w:type="dxa" w:w="80"/>
              <w:left w:type="dxa" w:w="100"/>
              <w:bottom w:type="dxa" w:w="80"/>
              <w:right w:type="dxa" w:w="100"/>
            </w:tcMar>
          </w:tcPr>
          <w:p>
            <w:r>
              <w:rPr>
                <w:b w:val="false"/>
                <w:bCs w:val="false"/>
              </w:rPr>
              <w:t xml:space="preserve">Vlak voor het slot</w:t>
            </w:r>
          </w:p>
        </w:tc>
      </w:tr>
    </w:tbl>
    <w:p>
      <w:pPr>
        <w:pStyle w:val="Heading1"/>
        <w:spacing w:after="140" w:before="280"/>
      </w:pPr>
      <w:r>
        <w:t xml:space="preserve">6. Draaiboek voor de live demo</w:t>
      </w:r>
    </w:p>
    <w:p>
      <w:pPr>
        <w:spacing w:after="140"/>
      </w:pPr>
      <w:r>
        <w:t xml:space="preserve">Drie Solace Cloud “Try Me!”-tabs (AWS/Azure/STACKIT) zichtbaar naast elkaar: (1) stm publiceert publieke data → verschijnt alleen op AWS; (2) het Python-script publiceert niet-persoonlijke EU-data → verschijnt alleen op Azure; (3) SDKPerf publiceert PII → verschijnt uitsluitend op STACKIT, expliciet niet op de andere twee. Neem vooraf een schermopname als fallback.</w:t>
      </w:r>
    </w:p>
    <w:p>
      <w:pPr>
        <w:pStyle w:val="Heading1"/>
        <w:spacing w:after="140" w:before="280"/>
      </w:pPr>
      <w:r>
        <w:t xml:space="preserve">7. Wat ontbreekt of beter kan (samenvatting)</w:t>
      </w:r>
    </w:p>
    <w:p>
      <w:pPr>
        <w:pStyle w:val="ListParagraph"/>
        <w:numPr>
          <w:ilvl w:val="0"/>
          <w:numId w:val="2"/>
        </w:numPr>
        <w:spacing w:after="80"/>
      </w:pPr>
      <w:r>
        <w:t xml:space="preserve">STACKIT GA-timing is een restrisico, geen kernonzekerheid meer: mocht de planning schuiven, draait de demo door op de GCP-europe-west1-interim-broker -- controleer dit kort vóór de repetitie/DADD.</w:t>
      </w:r>
    </w:p>
    <w:p>
      <w:pPr>
        <w:pStyle w:val="ListParagraph"/>
        <w:numPr>
          <w:ilvl w:val="0"/>
          <w:numId w:val="2"/>
        </w:numPr>
        <w:spacing w:after="80"/>
      </w:pPr>
      <w:r>
        <w:t xml:space="preserve">Public clusters in plaats van private/VPC-gepeerd: bewuste vereenvoudiging voor de demo, benoem dit expliciet in de presentatie zelf.</w:t>
      </w:r>
    </w:p>
    <w:p>
      <w:pPr>
        <w:pStyle w:val="ListParagraph"/>
        <w:numPr>
          <w:ilvl w:val="0"/>
          <w:numId w:val="2"/>
        </w:numPr>
        <w:spacing w:after="80"/>
      </w:pPr>
      <w:r>
        <w:t xml:space="preserve">Voor een architecturaal preciezere weergave van #noexport zou een DMR-cluster nodig zijn in plaats van queues/RDP's -- bewust buiten scope voor deze eerste versie.</w:t>
      </w:r>
    </w:p>
    <w:p>
      <w:pPr>
        <w:pStyle w:val="ListParagraph"/>
        <w:numPr>
          <w:ilvl w:val="0"/>
          <w:numId w:val="2"/>
        </w:numPr>
        <w:spacing w:after="80"/>
      </w:pPr>
      <w:r>
        <w:t xml:space="preserve">De RDP-attribuutnamen zijn gecrosscheckt tegen een werkende Go SEMP-client (Solace's eigen CLI-documentatie geeft geen REST-attribuutnamen); het REST-host/poort per cloud-service (9443) is inmiddels bevestigd correct via de Connect-tab. De resterende "Down"-status is vernauwd tot een HTTP 503 op de queue-binding, met als vermoedelijke oorzaak dat REST-incoming niet aanstaat op de cloud-VPN.</w:t>
      </w:r>
    </w:p>
    <w:p>
      <w:pPr>
        <w:pStyle w:val="ListParagraph"/>
        <w:numPr>
          <w:ilvl w:val="0"/>
          <w:numId w:val="2"/>
        </w:numPr>
        <w:spacing w:after="80"/>
      </w:pPr>
      <w:r>
        <w:t xml:space="preserve">Geen geautomatiseerde provisioning in één commando, geen monitoring/observability, geen CI -- bewuste keuzes voor een eenmalige demo-opzet, zie PLAN.md voor de volledige afweging.</w:t>
      </w:r>
    </w:p>
    <w:p>
      <w:pPr>
        <w:pStyle w:val="ListParagraph"/>
        <w:numPr>
          <w:ilvl w:val="0"/>
          <w:numId w:val="2"/>
        </w:numPr>
        <w:spacing w:after="80"/>
      </w:pPr>
      <w:r>
        <w:t xml:space="preserve">Azure is fysiek in Nederland maar organisatorisch een Amerikaanse hyperscaler -- de moeite waard om in de presentatie zelf te benoemen.</w:t>
      </w:r>
    </w:p>
    <w:p>
      <w:pPr>
        <w:pStyle w:val="Heading1"/>
        <w:spacing w:after="140" w:before="280"/>
      </w:pPr>
      <w:r>
        <w:t xml:space="preserve">8. Vervolgstappen</w:t>
      </w:r>
    </w:p>
    <w:p>
      <w:pPr>
        <w:pStyle w:val="ListParagraph"/>
        <w:numPr>
          <w:ilvl w:val="0"/>
          <w:numId w:val="2"/>
        </w:numPr>
        <w:spacing w:after="80"/>
      </w:pPr>
      <w:r>
        <w:t xml:space="preserve">~~test-rest-direct.sh draaien.~~ ✅ -- alle 3 cloud-brokers antwoorden 200 OK; REST-incoming, auth, host/poort en topic-mapping zijn uitgesloten als oorzaak.</w:t>
      </w:r>
    </w:p>
    <w:p>
      <w:pPr>
        <w:pStyle w:val="ListParagraph"/>
        <w:numPr>
          <w:ilvl w:val="0"/>
          <w:numId w:val="2"/>
        </w:numPr>
        <w:spacing w:after="80"/>
      </w:pPr>
      <w:r>
        <w:t xml:space="preserve">~~Publish-test + diagnose-rdp.sh, iteratief.~~ ✅ -- vier losse bugs gevonden en gefixt: stm CLI-syntax ("publish" -&gt; "send"), VPN-auth-type (RADIUS -&gt; internal), delivery-mode (PERSISTENT -&gt; DIRECT), en requestTargetEvaluation ("none" -&gt; "substitution-expressions").</w:t>
      </w:r>
    </w:p>
    <w:p>
      <w:pPr>
        <w:pStyle w:val="ListParagraph"/>
        <w:numPr>
          <w:ilvl w:val="0"/>
          <w:numId w:val="2"/>
        </w:numPr>
        <w:spacing w:after="80"/>
      </w:pPr>
      <w:r>
        <w:t xml:space="preserve">~~configure-rdp-export.sh opnieuw draaien, dan publish-test + diagnose-rdp.sh herhalen.~~ ✅ -- fix bevestigd live, maar de 503 en httpRequestTxMsgCount: 0 blijven ongewijzigd (ronde 5): niet de (enige) oorzaak. Nieuw spoor: REST-consumer toont "Peer TCP Closed" op de persistente verbindingspool.</w:t>
      </w:r>
    </w:p>
    <w:p>
      <w:pPr>
        <w:pStyle w:val="ListParagraph"/>
        <w:numPr>
          <w:ilvl w:val="0"/>
          <w:numId w:val="2"/>
        </w:numPr>
        <w:spacing w:after="80"/>
      </w:pPr>
      <w:r>
        <w:t xml:space="preserve">~~watch-rdp-live.sh draaien.~~ ✅ -- toont de echte root cause: de queue-binding bindt zich nooit aan zijn eigen lokale queue (bindRequestCount: 0). Oorzaak: clientProfileName "default" (RDP + publishers) heeft allowGuaranteedMsgReceiveEnabled: false. Gefixt met nieuw profiel rdp-deliver.</w:t>
      </w:r>
    </w:p>
    <w:p>
      <w:pPr>
        <w:pStyle w:val="ListParagraph"/>
        <w:numPr>
          <w:ilvl w:val="0"/>
          <w:numId w:val="2"/>
        </w:numPr>
        <w:spacing w:after="80"/>
      </w:pPr>
      <w:r>
        <w:t xml:space="preserve">~~Sanity-check: handmatige curl-POST rechtstreeks naar AWS.~~ ✅ -- 200 OK, bericht verschijnt meteen in AWS "Try Me!": AWS-kant, credentials en topic-mapping zijn 100% in orde, het probleem zit uitsluitend lokaal.</w:t>
      </w:r>
    </w:p>
    <w:p>
      <w:pPr>
        <w:pStyle w:val="ListParagraph"/>
        <w:numPr>
          <w:ilvl w:val="0"/>
          <w:numId w:val="2"/>
        </w:numPr>
        <w:spacing w:after="80"/>
      </w:pPr>
      <w:r>
        <w:t xml:space="preserve">~~configure-rdp-export.sh opnieuw draaien, dan diagnose-rdp.sh en de AWS "Try Me!"-tab controleren.~~ ✅✅ WERKT: alle 3 queue-bindings up:true met bindSuccessCount:1, RDP-aws leverde 21 berichten daadwerkelijk af, zichtbaar in AWS "Try Me!" op de juiste topic. Azure/STACKIT staan klaar, nog ongetest.</w:t>
      </w:r>
    </w:p>
    <w:p>
      <w:pPr>
        <w:pStyle w:val="ListParagraph"/>
        <w:numPr>
          <w:ilvl w:val="0"/>
          <w:numId w:val="2"/>
        </w:numPr>
        <w:spacing w:after="80"/>
      </w:pPr>
      <w:r>
        <w:t xml:space="preserve">Eerste end-to-end testronde: publiceren met stm/python/sdkperf en per cloud-broker controleren dat het bericht op dezelfde topic aankomt, en nergens anders.</w:t>
      </w:r>
    </w:p>
    <w:p>
      <w:pPr>
        <w:pStyle w:val="ListParagraph"/>
        <w:numPr>
          <w:ilvl w:val="0"/>
          <w:numId w:val="2"/>
        </w:numPr>
        <w:spacing w:after="80"/>
      </w:pPr>
      <w:r>
        <w:t xml:space="preserve">Daarna draaiboek en fallback-opname voorbereiden.</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20" w:hanging="2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12893affdbef23b3476fca69c3fad559f0b9a9f7.png"/><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2026-09-28T11:40:47.800Z</dcterms:created>
  <dcterms:modified xsi:type="dcterms:W3CDTF">2026-09-28T11:40:47.811Z</dcterms:modified>
</cp:coreProperties>
</file>

<file path=docProps/custom.xml><?xml version="1.0" encoding="utf-8"?>
<Properties xmlns="http://schemas.openxmlformats.org/officeDocument/2006/custom-properties" xmlns:vt="http://schemas.openxmlformats.org/officeDocument/2006/docPropsVTypes"/>
</file>