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(AWS), python-eu-nonpersonal (Azure) en sdkperf-pii (STACKIT) alle drie bevestigd, elk uitsluitend op de eigen doelbroker</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landt uitsluitend op zijn eigen doelbroker.</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2026-09-28T12:53:22.358Z</dcterms:created>
  <dcterms:modified xsi:type="dcterms:W3CDTF">2026-09-28T12:53:22.362Z</dcterms:modified>
</cp:coreProperties>
</file>

<file path=docProps/custom.xml><?xml version="1.0" encoding="utf-8"?>
<Properties xmlns="http://schemas.openxmlformats.org/officeDocument/2006/custom-properties" xmlns:vt="http://schemas.openxmlformats.org/officeDocument/2006/docPropsVTypes"/>
</file>