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alle 3 cloud-brokers (AWS, Azure, STACKIT/GCP-interim)</w:t>
            </w:r>
          </w:p>
        </w:tc>
        <w:tc>
          <w:tcPr>
            <w:tcW w:type="dxa" w:w="2326"/>
            <w:tcMar>
              <w:top w:type="dxa" w:w="80"/>
              <w:left w:type="dxa" w:w="100"/>
              <w:bottom w:type="dxa" w:w="80"/>
              <w:right w:type="dxa" w:w="100"/>
            </w:tcMar>
          </w:tcPr>
          <w:p>
            <w:r>
              <w:rPr>
                <w:b w:val="false"/>
                <w:bCs w:val="false"/>
              </w:rPr>
              <w:t xml:space="preserve">Fase 5 afgerond, 3/3 geslaagd. Volgende: draaiboek + fallback-opname (sectie 14, stap 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3/3: stm-public, python-eu-nonpersonal en sdkperf-pii alle drie bevestigd. Sindsdien versterkt: elke app publiceert nu alle 3 dataklassen per run (AWS+Azure+STACKIT), niet meer maar één per app</w:t>
            </w:r>
          </w:p>
        </w:tc>
        <w:tc>
          <w:tcPr>
            <w:tcW w:type="dxa" w:w="2326"/>
            <w:tcMar>
              <w:top w:type="dxa" w:w="80"/>
              <w:left w:type="dxa" w:w="100"/>
              <w:bottom w:type="dxa" w:w="80"/>
              <w:right w:type="dxa" w:w="100"/>
            </w:tcMar>
          </w:tcPr>
          <w:p>
            <w:r>
              <w:rPr>
                <w:b w:val="false"/>
                <w:bCs w:val="false"/>
              </w:rPr>
              <w:t xml:space="preserve">Herhalen vóór DADD zelf als extra zekerheid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2026-09-28T14:51:46.336Z</dcterms:created>
  <dcterms:modified xsi:type="dcterms:W3CDTF">2026-09-28T14:51:46.346Z</dcterms:modified>
</cp:coreProperties>
</file>

<file path=docProps/custom.xml><?xml version="1.0" encoding="utf-8"?>
<Properties xmlns="http://schemas.openxmlformats.org/officeDocument/2006/custom-properties" xmlns:vt="http://schemas.openxmlformats.org/officeDocument/2006/docPropsVTypes"/>
</file>