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lokale VPN, publisher-ACL's en cloud-bridge-users staan. De bridge-aanmaak zelf faalde op een ontbrekend verplicht SEMP-veld (bridgeVirtualRouter) -- de 3e bug die deze iteratieve aanpak heeft blootgelegd, inmiddels gefixt. Emil draait het script opnieuw voor de laatste stap: de 3 bridges.</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bridges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Bridge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Bridges met topic-scoped remoteSubscriptions in plaats van DMR/#noexport -- functioneel voldoende voor deze demo, architecturaal een ander mechanisme (zie sectie 7).</w:t>
      </w:r>
    </w:p>
    <w:p>
      <w:pPr>
        <w:pStyle w:val="ListParagraph"/>
        <w:numPr>
          <w:ilvl w:val="0"/>
          <w:numId w:val="2"/>
        </w:numPr>
        <w:spacing w:after="80"/>
      </w:pPr>
      <w:r>
        <w:t xml:space="preserve">Eigen client-username per dataklasse met een ACL-profiel dat publiceren tot één topic-subtree beperkt (“governed sharing” aan de bron); voor de bridges op de cloud-brokers geldt hetzelfde -- een nieuwe, dedicated username per service,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bridges</w:t>
            </w:r>
          </w:p>
        </w:tc>
        <w:tc>
          <w:tcPr>
            <w:tcW w:type="dxa" w:w="3400"/>
            <w:tcMar>
              <w:top w:type="dxa" w:w="80"/>
              <w:left w:type="dxa" w:w="100"/>
              <w:bottom w:type="dxa" w:w="80"/>
              <w:right w:type="dxa" w:w="100"/>
            </w:tcMar>
          </w:tcPr>
          <w:p>
            <w:r>
              <w:rPr>
                <w:b w:val="false"/>
                <w:bCs w:val="false"/>
              </w:rPr>
              <w:t xml:space="preserve">✅ VPN + publisher-ACL's gereed; configure-local-broker.sh 3 bugs gefixt; 🔄 opnieuw te draaien voor de bridges</w:t>
            </w:r>
          </w:p>
        </w:tc>
        <w:tc>
          <w:tcPr>
            <w:tcW w:type="dxa" w:w="2326"/>
            <w:tcMar>
              <w:top w:type="dxa" w:w="80"/>
              <w:left w:type="dxa" w:w="100"/>
              <w:bottom w:type="dxa" w:w="80"/>
              <w:right w:type="dxa" w:w="100"/>
            </w:tcMar>
          </w:tcPr>
          <w:p>
            <w:r>
              <w:rPr>
                <w:b w:val="false"/>
                <w:bCs w:val="false"/>
              </w:rPr>
              <w:t xml:space="preserve">Bezig</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Alle 3 tools end-to-end testen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bridges -- bewust buiten scope voor deze eerste versie.</w:t>
      </w:r>
    </w:p>
    <w:p>
      <w:pPr>
        <w:pStyle w:val="ListParagraph"/>
        <w:numPr>
          <w:ilvl w:val="0"/>
          <w:numId w:val="2"/>
        </w:numPr>
        <w:spacing w:after="80"/>
      </w:pPr>
      <w:r>
        <w:t xml:space="preserve">De SEMP-configuratiescripts zijn gebaseerd op de huidige documentatie maar nog niet tegen een live broker getest -- eerste concrete vervolgstap.</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Interim GCP-broker (europe-west1) aanmaken; vlak vóór de repetitie/DADD checken of STACKIT al als GA-datacenter-optie zichtbaar is.</w:t>
      </w:r>
    </w:p>
    <w:p>
      <w:pPr>
        <w:pStyle w:val="ListParagraph"/>
        <w:numPr>
          <w:ilvl w:val="0"/>
          <w:numId w:val="2"/>
        </w:numPr>
        <w:spacing w:after="80"/>
      </w:pPr>
      <w:r>
        <w:t xml:space="preserve">De bridge/ACL-configuratiescripts valideren tegen een echte broker.</w:t>
      </w:r>
    </w:p>
    <w:p>
      <w:pPr>
        <w:pStyle w:val="ListParagraph"/>
        <w:numPr>
          <w:ilvl w:val="0"/>
          <w:numId w:val="2"/>
        </w:numPr>
        <w:spacing w:after="80"/>
      </w:pPr>
      <w:r>
        <w:t xml:space="preserve">De 3 Solace Cloud-services aanmaken en de lokale broker-configuratie invullen.</w:t>
      </w:r>
    </w:p>
    <w:p>
      <w:pPr>
        <w:pStyle w:val="ListParagraph"/>
        <w:numPr>
          <w:ilvl w:val="0"/>
          <w:numId w:val="2"/>
        </w:numPr>
        <w:spacing w:after="80"/>
      </w:pPr>
      <w:r>
        <w:t xml:space="preserve">Eerste end-to-end testronde, 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2026-09-28T01:29:30.926Z</dcterms:created>
  <dcterms:modified xsi:type="dcterms:W3CDTF">2026-09-28T01:29:30.928Z</dcterms:modified>
</cp:coreProperties>
</file>

<file path=docProps/custom.xml><?xml version="1.0" encoding="utf-8"?>
<Properties xmlns="http://schemas.openxmlformats.org/officeDocument/2006/custom-properties" xmlns:vt="http://schemas.openxmlformats.org/officeDocument/2006/docPropsVTypes"/>
</file>